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F1" w:rsidRDefault="00B608F1" w:rsidP="00B608F1">
      <w:pPr>
        <w:tabs>
          <w:tab w:val="left" w:pos="1453"/>
        </w:tabs>
        <w:jc w:val="both"/>
        <w:rPr>
          <w:b/>
        </w:rPr>
      </w:pPr>
      <w:r w:rsidRPr="00153905">
        <w:rPr>
          <w:b/>
        </w:rPr>
        <w:t xml:space="preserve">VALUE FOR MONEY ASSESSMENT </w:t>
      </w:r>
    </w:p>
    <w:p w:rsidR="00B608F1" w:rsidRPr="00153905" w:rsidRDefault="00B608F1" w:rsidP="00B608F1">
      <w:pPr>
        <w:tabs>
          <w:tab w:val="left" w:pos="1453"/>
        </w:tabs>
        <w:jc w:val="both"/>
        <w:rPr>
          <w:b/>
        </w:rPr>
      </w:pPr>
    </w:p>
    <w:p w:rsidR="00B608F1" w:rsidRPr="0002619C" w:rsidRDefault="00B608F1" w:rsidP="00B608F1">
      <w:pPr>
        <w:pStyle w:val="Heading2"/>
        <w:jc w:val="both"/>
        <w:rPr>
          <w:rFonts w:ascii="Times New Roman" w:hAnsi="Times New Roman"/>
          <w:i w:val="0"/>
          <w:sz w:val="20"/>
        </w:rPr>
      </w:pPr>
      <w:r w:rsidRPr="0002619C">
        <w:rPr>
          <w:rFonts w:ascii="Times New Roman" w:hAnsi="Times New Roman"/>
          <w:i w:val="0"/>
          <w:sz w:val="20"/>
        </w:rPr>
        <w:t>A</w:t>
      </w:r>
      <w:r>
        <w:rPr>
          <w:rFonts w:ascii="Times New Roman" w:hAnsi="Times New Roman"/>
          <w:i w:val="0"/>
          <w:sz w:val="20"/>
        </w:rPr>
        <w:t>PPROACH</w:t>
      </w:r>
    </w:p>
    <w:p w:rsidR="00B608F1" w:rsidRPr="00D07C94" w:rsidRDefault="00B608F1" w:rsidP="00B608F1">
      <w:pPr>
        <w:pStyle w:val="NormalJust"/>
        <w:rPr>
          <w:sz w:val="20"/>
        </w:rPr>
      </w:pPr>
      <w:proofErr w:type="gramStart"/>
      <w:r w:rsidRPr="00D07C94">
        <w:rPr>
          <w:sz w:val="20"/>
        </w:rPr>
        <w:t xml:space="preserve">The Housing for Women Board and the Executive Team (ET) aim to maximise the social value of the organisation by ensuring that its </w:t>
      </w:r>
      <w:r>
        <w:rPr>
          <w:sz w:val="20"/>
        </w:rPr>
        <w:t>finance</w:t>
      </w:r>
      <w:r w:rsidRPr="00D07C94">
        <w:rPr>
          <w:sz w:val="20"/>
        </w:rPr>
        <w:t xml:space="preserve"> and resources are used effectively.</w:t>
      </w:r>
      <w:proofErr w:type="gramEnd"/>
      <w:r w:rsidRPr="00D07C94">
        <w:rPr>
          <w:sz w:val="20"/>
        </w:rPr>
        <w:t xml:space="preserve"> </w:t>
      </w:r>
    </w:p>
    <w:p w:rsidR="00B608F1" w:rsidRPr="00D07C94" w:rsidRDefault="00B608F1" w:rsidP="00B608F1">
      <w:r w:rsidRPr="00D07C94">
        <w:t>It is the role of the Board and ET to:</w:t>
      </w:r>
    </w:p>
    <w:p w:rsidR="00B608F1" w:rsidRPr="00D07C94" w:rsidRDefault="00B608F1" w:rsidP="00B608F1">
      <w:pPr>
        <w:pStyle w:val="hfwbullet1"/>
        <w:rPr>
          <w:sz w:val="20"/>
        </w:rPr>
      </w:pPr>
      <w:r w:rsidRPr="00D07C94">
        <w:rPr>
          <w:sz w:val="20"/>
        </w:rPr>
        <w:t>Ensure the organisation’s assets and resources are used to further its charitable aims and ensure planned surpluses are achieved.</w:t>
      </w:r>
    </w:p>
    <w:p w:rsidR="00B608F1" w:rsidRPr="00D07C94" w:rsidRDefault="00B608F1" w:rsidP="00B608F1">
      <w:pPr>
        <w:pStyle w:val="hfwbullet1"/>
        <w:rPr>
          <w:sz w:val="20"/>
        </w:rPr>
      </w:pPr>
      <w:r w:rsidRPr="00D07C94">
        <w:rPr>
          <w:sz w:val="20"/>
        </w:rPr>
        <w:t>To challenge business effectiveness and ensure it operates efficiently.</w:t>
      </w:r>
    </w:p>
    <w:p w:rsidR="00B608F1" w:rsidRPr="00D07C94" w:rsidRDefault="00B608F1" w:rsidP="00B608F1">
      <w:pPr>
        <w:pStyle w:val="hfwbullet1"/>
        <w:rPr>
          <w:sz w:val="20"/>
        </w:rPr>
      </w:pPr>
      <w:r w:rsidRPr="00D07C94">
        <w:rPr>
          <w:sz w:val="20"/>
        </w:rPr>
        <w:t>To set the standards and targets against which performance is measured and ensure action is taken so that they are achieved.</w:t>
      </w:r>
    </w:p>
    <w:p w:rsidR="00B608F1" w:rsidRPr="0002619C" w:rsidRDefault="00B608F1" w:rsidP="00B608F1">
      <w:pPr>
        <w:pStyle w:val="Heading2"/>
        <w:jc w:val="both"/>
        <w:rPr>
          <w:rFonts w:ascii="Times New Roman" w:hAnsi="Times New Roman"/>
          <w:i w:val="0"/>
          <w:sz w:val="20"/>
        </w:rPr>
      </w:pPr>
      <w:r>
        <w:rPr>
          <w:rFonts w:ascii="Times New Roman" w:hAnsi="Times New Roman"/>
          <w:i w:val="0"/>
          <w:sz w:val="20"/>
        </w:rPr>
        <w:t>STRATEGY</w:t>
      </w:r>
    </w:p>
    <w:p w:rsidR="00B608F1" w:rsidRPr="00B508C4" w:rsidRDefault="00B608F1" w:rsidP="00B608F1">
      <w:pPr>
        <w:pStyle w:val="hfwbullet1"/>
        <w:rPr>
          <w:sz w:val="20"/>
        </w:rPr>
      </w:pPr>
      <w:r w:rsidRPr="00B508C4">
        <w:rPr>
          <w:sz w:val="20"/>
        </w:rPr>
        <w:t>Agree a target surplus to provide an appropriate return on our assets for the benefit of current and future service users.</w:t>
      </w:r>
    </w:p>
    <w:p w:rsidR="00B608F1" w:rsidRPr="00B508C4" w:rsidRDefault="00B608F1" w:rsidP="00B608F1">
      <w:pPr>
        <w:pStyle w:val="hfwbullet1"/>
        <w:rPr>
          <w:sz w:val="20"/>
        </w:rPr>
      </w:pPr>
      <w:r w:rsidRPr="00B508C4">
        <w:rPr>
          <w:sz w:val="20"/>
        </w:rPr>
        <w:t>Undertake active asset management to ensure that all accommodation is at the standard agreed by the Board and in order to advance our business objectives.</w:t>
      </w:r>
    </w:p>
    <w:p w:rsidR="00B608F1" w:rsidRPr="00B508C4" w:rsidRDefault="00B608F1" w:rsidP="00B608F1">
      <w:pPr>
        <w:pStyle w:val="hfwbullet1"/>
        <w:rPr>
          <w:sz w:val="20"/>
        </w:rPr>
      </w:pPr>
      <w:r w:rsidRPr="00B508C4">
        <w:rPr>
          <w:sz w:val="20"/>
        </w:rPr>
        <w:t>Quantify and measure financial return, social value and impact in our provision of social and affordable housing, support services to vulnerable women and other value added activities.</w:t>
      </w:r>
    </w:p>
    <w:p w:rsidR="00B608F1" w:rsidRPr="00B508C4" w:rsidRDefault="00B608F1" w:rsidP="00B608F1">
      <w:pPr>
        <w:pStyle w:val="hfwbullet1"/>
        <w:rPr>
          <w:sz w:val="20"/>
        </w:rPr>
      </w:pPr>
      <w:r w:rsidRPr="00B508C4">
        <w:rPr>
          <w:sz w:val="20"/>
        </w:rPr>
        <w:t>Reduction in overhead and back office costs including Administration, Human Resources, Finance &amp; ICT and the Chief Executive’s Office.</w:t>
      </w:r>
    </w:p>
    <w:p w:rsidR="00B608F1" w:rsidRPr="00B508C4" w:rsidRDefault="00B608F1" w:rsidP="00B608F1">
      <w:pPr>
        <w:pStyle w:val="hfwbullet1"/>
        <w:rPr>
          <w:sz w:val="20"/>
        </w:rPr>
      </w:pPr>
      <w:r w:rsidRPr="00B508C4">
        <w:rPr>
          <w:sz w:val="20"/>
        </w:rPr>
        <w:t>Set service standards across all operational areas.</w:t>
      </w:r>
    </w:p>
    <w:p w:rsidR="00B608F1" w:rsidRPr="00B508C4" w:rsidRDefault="00B608F1" w:rsidP="00B608F1">
      <w:pPr>
        <w:pStyle w:val="hfwbullet1"/>
        <w:rPr>
          <w:sz w:val="20"/>
        </w:rPr>
      </w:pPr>
      <w:r w:rsidRPr="00B508C4">
        <w:rPr>
          <w:sz w:val="20"/>
        </w:rPr>
        <w:t>Maximise fundraising income for non-statutorily funded projects which benefit women and meet our charitable objects.</w:t>
      </w:r>
    </w:p>
    <w:p w:rsidR="00B608F1" w:rsidRPr="00B508C4" w:rsidRDefault="00B608F1" w:rsidP="00B608F1">
      <w:pPr>
        <w:pStyle w:val="hfwbullet1"/>
        <w:rPr>
          <w:sz w:val="20"/>
        </w:rPr>
      </w:pPr>
      <w:r w:rsidRPr="00B508C4">
        <w:rPr>
          <w:sz w:val="20"/>
        </w:rPr>
        <w:t>Drive improvement in the Association’s performance and benchmark against other similar providers to ensure results are in the upper quartile.</w:t>
      </w:r>
    </w:p>
    <w:p w:rsidR="00B608F1" w:rsidRPr="00B508C4" w:rsidRDefault="00B608F1" w:rsidP="00B608F1">
      <w:pPr>
        <w:pStyle w:val="hfwbullet1"/>
        <w:rPr>
          <w:sz w:val="20"/>
        </w:rPr>
      </w:pPr>
      <w:r w:rsidRPr="00B508C4">
        <w:rPr>
          <w:sz w:val="20"/>
        </w:rPr>
        <w:t>Evaluate the effectiveness of operational projects within the business to ensure that deemed benefits are achieved.</w:t>
      </w:r>
    </w:p>
    <w:p w:rsidR="00B608F1" w:rsidRPr="0002619C" w:rsidRDefault="00B608F1" w:rsidP="00B608F1">
      <w:pPr>
        <w:pStyle w:val="Heading2"/>
        <w:jc w:val="both"/>
        <w:rPr>
          <w:rFonts w:ascii="Times New Roman" w:hAnsi="Times New Roman"/>
          <w:b w:val="0"/>
          <w:i w:val="0"/>
          <w:sz w:val="20"/>
        </w:rPr>
      </w:pPr>
      <w:r w:rsidRPr="0002619C">
        <w:rPr>
          <w:rFonts w:ascii="Times New Roman" w:hAnsi="Times New Roman"/>
          <w:i w:val="0"/>
          <w:sz w:val="20"/>
        </w:rPr>
        <w:t>OVERALL PERFORMANCE</w:t>
      </w:r>
    </w:p>
    <w:p w:rsidR="00B608F1" w:rsidRPr="00B508C4" w:rsidRDefault="00B608F1" w:rsidP="00B608F1">
      <w:pPr>
        <w:pStyle w:val="NormalJust"/>
        <w:rPr>
          <w:sz w:val="20"/>
        </w:rPr>
      </w:pPr>
      <w:r w:rsidRPr="00B508C4">
        <w:rPr>
          <w:sz w:val="20"/>
        </w:rPr>
        <w:t xml:space="preserve">There are many performance measures available and the key ones for evaluating the performance of the Association are all concerned with viability. </w:t>
      </w:r>
    </w:p>
    <w:p w:rsidR="00B608F1" w:rsidRPr="00B508C4" w:rsidRDefault="00B608F1" w:rsidP="00B608F1">
      <w:pPr>
        <w:pStyle w:val="NormalJust"/>
        <w:rPr>
          <w:sz w:val="20"/>
        </w:rPr>
      </w:pPr>
      <w:r w:rsidRPr="00B508C4">
        <w:rPr>
          <w:sz w:val="20"/>
        </w:rPr>
        <w:t xml:space="preserve">Housing for Women has selected other similar sized organisations with properties in similar London locations in order to compare and benchmark our performance on core business activities. </w:t>
      </w:r>
    </w:p>
    <w:p w:rsidR="00B608F1" w:rsidRDefault="00B608F1" w:rsidP="00B608F1">
      <w:pPr>
        <w:pStyle w:val="NormalJust"/>
        <w:rPr>
          <w:b/>
          <w:sz w:val="20"/>
        </w:rPr>
      </w:pPr>
    </w:p>
    <w:p w:rsidR="00B608F1" w:rsidRPr="00B508C4" w:rsidRDefault="00B608F1" w:rsidP="00B608F1">
      <w:pPr>
        <w:pStyle w:val="NormalJust"/>
        <w:rPr>
          <w:b/>
          <w:sz w:val="20"/>
        </w:rPr>
      </w:pPr>
      <w:r w:rsidRPr="00B508C4">
        <w:rPr>
          <w:b/>
          <w:sz w:val="20"/>
        </w:rPr>
        <w:t>OVERALL OPERATING MARGIN</w:t>
      </w:r>
    </w:p>
    <w:tbl>
      <w:tblPr>
        <w:tblW w:w="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59"/>
        <w:gridCol w:w="959"/>
        <w:gridCol w:w="840"/>
      </w:tblGrid>
      <w:tr w:rsidR="00B608F1" w:rsidRPr="00B508C4" w:rsidTr="00610B65">
        <w:tc>
          <w:tcPr>
            <w:tcW w:w="3510" w:type="dxa"/>
            <w:shd w:val="clear" w:color="auto" w:fill="auto"/>
          </w:tcPr>
          <w:p w:rsidR="00B608F1" w:rsidRPr="00B508C4" w:rsidRDefault="00B608F1" w:rsidP="00610B65">
            <w:pPr>
              <w:jc w:val="both"/>
            </w:pPr>
            <w:r w:rsidRPr="00B508C4">
              <w:t>Registered Provider</w:t>
            </w:r>
          </w:p>
        </w:tc>
        <w:tc>
          <w:tcPr>
            <w:tcW w:w="959" w:type="dxa"/>
            <w:shd w:val="clear" w:color="auto" w:fill="auto"/>
          </w:tcPr>
          <w:p w:rsidR="00B608F1" w:rsidRPr="00B508C4" w:rsidRDefault="00B608F1" w:rsidP="00610B65">
            <w:pPr>
              <w:jc w:val="both"/>
            </w:pPr>
            <w:r w:rsidRPr="00B508C4">
              <w:t>Units</w:t>
            </w:r>
          </w:p>
        </w:tc>
        <w:tc>
          <w:tcPr>
            <w:tcW w:w="959" w:type="dxa"/>
            <w:shd w:val="clear" w:color="auto" w:fill="auto"/>
          </w:tcPr>
          <w:p w:rsidR="00B608F1" w:rsidRPr="00ED1996" w:rsidRDefault="00B608F1" w:rsidP="00610B65">
            <w:pPr>
              <w:jc w:val="both"/>
              <w:rPr>
                <w:b/>
              </w:rPr>
            </w:pPr>
            <w:r w:rsidRPr="00ED1996">
              <w:rPr>
                <w:b/>
              </w:rPr>
              <w:t>2015</w:t>
            </w:r>
          </w:p>
        </w:tc>
        <w:tc>
          <w:tcPr>
            <w:tcW w:w="840" w:type="dxa"/>
            <w:shd w:val="clear" w:color="auto" w:fill="auto"/>
          </w:tcPr>
          <w:p w:rsidR="00B608F1" w:rsidRPr="00B508C4" w:rsidRDefault="00B608F1" w:rsidP="00610B65">
            <w:pPr>
              <w:jc w:val="both"/>
            </w:pPr>
            <w:r w:rsidRPr="00B508C4">
              <w:t>2014</w:t>
            </w:r>
          </w:p>
        </w:tc>
      </w:tr>
      <w:tr w:rsidR="00B608F1" w:rsidRPr="00B508C4" w:rsidTr="00610B65">
        <w:tc>
          <w:tcPr>
            <w:tcW w:w="3510" w:type="dxa"/>
            <w:shd w:val="clear" w:color="auto" w:fill="auto"/>
          </w:tcPr>
          <w:p w:rsidR="00B608F1" w:rsidRPr="00B508C4" w:rsidRDefault="00B608F1" w:rsidP="00610B65">
            <w:pPr>
              <w:jc w:val="both"/>
            </w:pPr>
            <w:r w:rsidRPr="00B508C4">
              <w:t xml:space="preserve">Housing for Women HA Ltd </w:t>
            </w:r>
          </w:p>
        </w:tc>
        <w:tc>
          <w:tcPr>
            <w:tcW w:w="959" w:type="dxa"/>
            <w:shd w:val="clear" w:color="auto" w:fill="auto"/>
          </w:tcPr>
          <w:p w:rsidR="00B608F1" w:rsidRPr="00B508C4" w:rsidRDefault="00B608F1" w:rsidP="00610B65">
            <w:pPr>
              <w:jc w:val="both"/>
            </w:pPr>
            <w:r w:rsidRPr="00B508C4">
              <w:t>836</w:t>
            </w:r>
          </w:p>
        </w:tc>
        <w:tc>
          <w:tcPr>
            <w:tcW w:w="959" w:type="dxa"/>
            <w:shd w:val="clear" w:color="auto" w:fill="auto"/>
          </w:tcPr>
          <w:p w:rsidR="00B608F1" w:rsidRPr="00B508C4" w:rsidRDefault="00B608F1" w:rsidP="00610B65">
            <w:pPr>
              <w:jc w:val="both"/>
            </w:pPr>
            <w:r w:rsidRPr="00B508C4">
              <w:t>24.4%</w:t>
            </w:r>
          </w:p>
        </w:tc>
        <w:tc>
          <w:tcPr>
            <w:tcW w:w="840" w:type="dxa"/>
            <w:shd w:val="clear" w:color="auto" w:fill="auto"/>
          </w:tcPr>
          <w:p w:rsidR="00B608F1" w:rsidRPr="00B508C4" w:rsidRDefault="00B608F1" w:rsidP="00610B65">
            <w:pPr>
              <w:jc w:val="both"/>
            </w:pPr>
            <w:r w:rsidRPr="00B508C4">
              <w:t>18.7%</w:t>
            </w:r>
          </w:p>
        </w:tc>
      </w:tr>
      <w:tr w:rsidR="00B608F1" w:rsidRPr="00B508C4" w:rsidTr="00610B65">
        <w:tc>
          <w:tcPr>
            <w:tcW w:w="3510" w:type="dxa"/>
            <w:shd w:val="clear" w:color="auto" w:fill="auto"/>
          </w:tcPr>
          <w:p w:rsidR="00B608F1" w:rsidRPr="00B508C4" w:rsidRDefault="00B608F1" w:rsidP="00610B65">
            <w:pPr>
              <w:jc w:val="both"/>
            </w:pPr>
            <w:r w:rsidRPr="00B508C4">
              <w:rPr>
                <w:noProof/>
              </w:rPr>
              <w:t>Arhag HA Ltd</w:t>
            </w:r>
          </w:p>
        </w:tc>
        <w:tc>
          <w:tcPr>
            <w:tcW w:w="959" w:type="dxa"/>
            <w:shd w:val="clear" w:color="auto" w:fill="auto"/>
          </w:tcPr>
          <w:p w:rsidR="00B608F1" w:rsidRPr="00B508C4" w:rsidRDefault="00B608F1" w:rsidP="00610B65">
            <w:pPr>
              <w:jc w:val="both"/>
            </w:pPr>
            <w:r w:rsidRPr="00B508C4">
              <w:t>857</w:t>
            </w:r>
          </w:p>
        </w:tc>
        <w:tc>
          <w:tcPr>
            <w:tcW w:w="959" w:type="dxa"/>
            <w:shd w:val="clear" w:color="auto" w:fill="auto"/>
          </w:tcPr>
          <w:p w:rsidR="00B608F1" w:rsidRPr="00B508C4" w:rsidRDefault="00B608F1" w:rsidP="00610B65">
            <w:pPr>
              <w:jc w:val="both"/>
            </w:pPr>
            <w:r w:rsidRPr="00B508C4">
              <w:t>25.7%</w:t>
            </w:r>
          </w:p>
        </w:tc>
        <w:tc>
          <w:tcPr>
            <w:tcW w:w="840" w:type="dxa"/>
            <w:shd w:val="clear" w:color="auto" w:fill="auto"/>
          </w:tcPr>
          <w:p w:rsidR="00B608F1" w:rsidRPr="00B508C4" w:rsidRDefault="00B608F1" w:rsidP="00610B65">
            <w:pPr>
              <w:jc w:val="both"/>
            </w:pPr>
            <w:r w:rsidRPr="00B508C4">
              <w:t>25.6%</w:t>
            </w:r>
          </w:p>
        </w:tc>
      </w:tr>
      <w:tr w:rsidR="00B608F1" w:rsidRPr="00B508C4" w:rsidTr="00610B65">
        <w:tc>
          <w:tcPr>
            <w:tcW w:w="3510" w:type="dxa"/>
            <w:shd w:val="clear" w:color="auto" w:fill="auto"/>
          </w:tcPr>
          <w:p w:rsidR="00B608F1" w:rsidRPr="00B508C4" w:rsidRDefault="00B608F1" w:rsidP="00610B65">
            <w:pPr>
              <w:jc w:val="both"/>
            </w:pPr>
            <w:r w:rsidRPr="00B508C4">
              <w:t>Soho HA</w:t>
            </w:r>
          </w:p>
        </w:tc>
        <w:tc>
          <w:tcPr>
            <w:tcW w:w="959" w:type="dxa"/>
            <w:shd w:val="clear" w:color="auto" w:fill="auto"/>
          </w:tcPr>
          <w:p w:rsidR="00B608F1" w:rsidRPr="00B508C4" w:rsidRDefault="00B608F1" w:rsidP="00610B65">
            <w:pPr>
              <w:jc w:val="both"/>
            </w:pPr>
            <w:r w:rsidRPr="00B508C4">
              <w:t>742</w:t>
            </w:r>
          </w:p>
        </w:tc>
        <w:tc>
          <w:tcPr>
            <w:tcW w:w="959" w:type="dxa"/>
            <w:shd w:val="clear" w:color="auto" w:fill="auto"/>
          </w:tcPr>
          <w:p w:rsidR="00B608F1" w:rsidRPr="00B508C4" w:rsidRDefault="00B608F1" w:rsidP="00610B65">
            <w:pPr>
              <w:jc w:val="both"/>
            </w:pPr>
            <w:r w:rsidRPr="00B508C4">
              <w:t>31.6%</w:t>
            </w:r>
          </w:p>
        </w:tc>
        <w:tc>
          <w:tcPr>
            <w:tcW w:w="840" w:type="dxa"/>
            <w:shd w:val="clear" w:color="auto" w:fill="auto"/>
          </w:tcPr>
          <w:p w:rsidR="00B608F1" w:rsidRPr="00B508C4" w:rsidRDefault="00B608F1" w:rsidP="00610B65">
            <w:pPr>
              <w:jc w:val="both"/>
            </w:pPr>
            <w:r w:rsidRPr="00B508C4">
              <w:t>31.1%</w:t>
            </w:r>
          </w:p>
        </w:tc>
      </w:tr>
    </w:tbl>
    <w:p w:rsidR="00B608F1" w:rsidRPr="00B508C4" w:rsidRDefault="00B608F1" w:rsidP="00B608F1">
      <w:pPr>
        <w:pStyle w:val="NormalJust"/>
        <w:rPr>
          <w:sz w:val="20"/>
        </w:rPr>
      </w:pPr>
      <w:r w:rsidRPr="00B508C4">
        <w:rPr>
          <w:sz w:val="20"/>
        </w:rPr>
        <w:t xml:space="preserve">The overall operating margin measures profitability and efficiency, it is derived by dividing the operating surplus by the turnover. Housing for Women is at 24.4% (2014: 18.7%) and whilst it is not as efficient as the chosen benchmark associations, it is moving in the right direction even when we strip out the effect of the reduction in planned maintenance costs. </w:t>
      </w:r>
    </w:p>
    <w:p w:rsidR="00B608F1" w:rsidRPr="00B508C4" w:rsidRDefault="00B608F1" w:rsidP="00B608F1">
      <w:pPr>
        <w:pStyle w:val="NormalJust"/>
        <w:rPr>
          <w:sz w:val="20"/>
        </w:rPr>
      </w:pPr>
      <w:r w:rsidRPr="00B508C4">
        <w:rPr>
          <w:sz w:val="20"/>
        </w:rPr>
        <w:t xml:space="preserve">We also review and ensure that the Association’s level of debt is appropriate and that we have the ability to repay it. Gearing and interest cover are </w:t>
      </w:r>
      <w:r>
        <w:rPr>
          <w:sz w:val="20"/>
        </w:rPr>
        <w:t>19</w:t>
      </w:r>
      <w:r w:rsidRPr="00B508C4">
        <w:rPr>
          <w:sz w:val="20"/>
        </w:rPr>
        <w:t>.</w:t>
      </w:r>
      <w:r>
        <w:rPr>
          <w:sz w:val="20"/>
        </w:rPr>
        <w:t>9</w:t>
      </w:r>
      <w:r w:rsidRPr="00B508C4">
        <w:rPr>
          <w:sz w:val="20"/>
        </w:rPr>
        <w:t>% and 2.43 respectively (2014: 21% and 1.27) indicating that the level of debt is acceptable and that we are increasing our ability to repay it. Lastly, it is essential that the Association has sufficient cash resources to meet expenditure as it falls due. Cash balances have increased by £0.7m year on year.</w:t>
      </w:r>
    </w:p>
    <w:p w:rsidR="00B608F1" w:rsidRPr="00B508C4" w:rsidRDefault="00B608F1" w:rsidP="00B608F1">
      <w:pPr>
        <w:pStyle w:val="NormalJust"/>
        <w:rPr>
          <w:sz w:val="20"/>
        </w:rPr>
      </w:pPr>
      <w:r w:rsidRPr="00B508C4">
        <w:rPr>
          <w:sz w:val="20"/>
        </w:rPr>
        <w:t xml:space="preserve">We identified that Housing for Women’s customer satisfaction ratings and performance were in the bottom quartile of smaller providers last year and in response we engaged </w:t>
      </w:r>
      <w:proofErr w:type="spellStart"/>
      <w:r w:rsidRPr="00B508C4">
        <w:rPr>
          <w:sz w:val="20"/>
        </w:rPr>
        <w:t>Mazars</w:t>
      </w:r>
      <w:proofErr w:type="spellEnd"/>
      <w:r w:rsidRPr="00B508C4">
        <w:rPr>
          <w:sz w:val="20"/>
        </w:rPr>
        <w:t xml:space="preserve"> to review our customer service offering. To address the findings of the review a change program was initiated which resulted in the merger of the housing and property teams into one directorate delivering efficiency savings and anticipated performance improvements. The Director of Operations has been appointed and while the organisational restructure is still in progress the work required to improve customer satisfaction and performance has commenced.</w:t>
      </w:r>
    </w:p>
    <w:p w:rsidR="00B608F1" w:rsidRDefault="00B608F1" w:rsidP="00B608F1">
      <w:pPr>
        <w:pStyle w:val="Heading2"/>
        <w:jc w:val="both"/>
        <w:rPr>
          <w:rFonts w:ascii="Times New Roman" w:hAnsi="Times New Roman"/>
          <w:i w:val="0"/>
          <w:sz w:val="20"/>
        </w:rPr>
      </w:pPr>
    </w:p>
    <w:p w:rsidR="00B608F1" w:rsidRPr="0002619C" w:rsidRDefault="00B608F1" w:rsidP="00B608F1">
      <w:pPr>
        <w:pStyle w:val="Heading2"/>
        <w:jc w:val="both"/>
        <w:rPr>
          <w:rFonts w:ascii="Times New Roman" w:hAnsi="Times New Roman"/>
          <w:b w:val="0"/>
          <w:i w:val="0"/>
          <w:sz w:val="20"/>
        </w:rPr>
      </w:pPr>
      <w:r w:rsidRPr="0002619C">
        <w:rPr>
          <w:rFonts w:ascii="Times New Roman" w:hAnsi="Times New Roman"/>
          <w:i w:val="0"/>
          <w:sz w:val="20"/>
        </w:rPr>
        <w:t>FINANCIAL VIABILITY AND PERFORMANCE</w:t>
      </w:r>
    </w:p>
    <w:p w:rsidR="00B608F1" w:rsidRPr="00B508C4" w:rsidRDefault="00B608F1" w:rsidP="00B608F1">
      <w:pPr>
        <w:pStyle w:val="NormalJust"/>
        <w:rPr>
          <w:sz w:val="20"/>
        </w:rPr>
      </w:pPr>
      <w:r w:rsidRPr="00B508C4">
        <w:rPr>
          <w:sz w:val="20"/>
        </w:rPr>
        <w:t xml:space="preserve">The </w:t>
      </w:r>
      <w:r w:rsidRPr="00B508C4">
        <w:rPr>
          <w:b/>
          <w:sz w:val="20"/>
        </w:rPr>
        <w:t>Operating Margin</w:t>
      </w:r>
      <w:r w:rsidRPr="00B508C4">
        <w:rPr>
          <w:sz w:val="20"/>
        </w:rPr>
        <w:t xml:space="preserve"> is a measure of profitability and efficiency, the table below compares owned and managed general needs housing only.</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134"/>
        <w:gridCol w:w="1134"/>
        <w:gridCol w:w="1134"/>
      </w:tblGrid>
      <w:tr w:rsidR="00B608F1" w:rsidRPr="00B508C4" w:rsidTr="00610B65">
        <w:tc>
          <w:tcPr>
            <w:tcW w:w="3936" w:type="dxa"/>
            <w:shd w:val="clear" w:color="auto" w:fill="auto"/>
          </w:tcPr>
          <w:p w:rsidR="00B608F1" w:rsidRPr="00B508C4" w:rsidRDefault="00B608F1" w:rsidP="00610B65">
            <w:pPr>
              <w:jc w:val="both"/>
            </w:pPr>
            <w:r w:rsidRPr="00B508C4">
              <w:t>Registered Provider</w:t>
            </w:r>
          </w:p>
        </w:tc>
        <w:tc>
          <w:tcPr>
            <w:tcW w:w="1134" w:type="dxa"/>
            <w:shd w:val="clear" w:color="auto" w:fill="auto"/>
          </w:tcPr>
          <w:p w:rsidR="00B608F1" w:rsidRPr="00B508C4" w:rsidRDefault="00B608F1" w:rsidP="00610B65">
            <w:pPr>
              <w:jc w:val="center"/>
            </w:pPr>
            <w:r w:rsidRPr="00B508C4">
              <w:t>Units</w:t>
            </w:r>
          </w:p>
        </w:tc>
        <w:tc>
          <w:tcPr>
            <w:tcW w:w="1134" w:type="dxa"/>
            <w:shd w:val="clear" w:color="auto" w:fill="auto"/>
          </w:tcPr>
          <w:p w:rsidR="00B608F1" w:rsidRPr="00ED1996" w:rsidRDefault="00B608F1" w:rsidP="00610B65">
            <w:pPr>
              <w:jc w:val="center"/>
              <w:rPr>
                <w:b/>
              </w:rPr>
            </w:pPr>
            <w:r w:rsidRPr="00ED1996">
              <w:rPr>
                <w:b/>
              </w:rPr>
              <w:t>2015</w:t>
            </w:r>
          </w:p>
        </w:tc>
        <w:tc>
          <w:tcPr>
            <w:tcW w:w="1134" w:type="dxa"/>
            <w:shd w:val="clear" w:color="auto" w:fill="auto"/>
          </w:tcPr>
          <w:p w:rsidR="00B608F1" w:rsidRPr="00B508C4" w:rsidRDefault="00B608F1" w:rsidP="00610B65">
            <w:pPr>
              <w:jc w:val="center"/>
            </w:pPr>
            <w:r w:rsidRPr="00B508C4">
              <w:t>2014</w:t>
            </w:r>
          </w:p>
        </w:tc>
      </w:tr>
      <w:tr w:rsidR="00B608F1" w:rsidRPr="00B508C4" w:rsidTr="00610B65">
        <w:tc>
          <w:tcPr>
            <w:tcW w:w="3936" w:type="dxa"/>
            <w:shd w:val="clear" w:color="auto" w:fill="auto"/>
          </w:tcPr>
          <w:p w:rsidR="00B608F1" w:rsidRPr="00B508C4" w:rsidRDefault="00B608F1" w:rsidP="00610B65">
            <w:pPr>
              <w:jc w:val="both"/>
            </w:pPr>
            <w:r w:rsidRPr="00B508C4">
              <w:t xml:space="preserve">Housing for Women HA Ltd </w:t>
            </w:r>
          </w:p>
        </w:tc>
        <w:tc>
          <w:tcPr>
            <w:tcW w:w="1134" w:type="dxa"/>
            <w:shd w:val="clear" w:color="auto" w:fill="auto"/>
          </w:tcPr>
          <w:p w:rsidR="00B608F1" w:rsidRPr="00B508C4" w:rsidRDefault="00B608F1" w:rsidP="00610B65">
            <w:pPr>
              <w:jc w:val="center"/>
            </w:pPr>
            <w:r w:rsidRPr="00B508C4">
              <w:t>836</w:t>
            </w:r>
          </w:p>
        </w:tc>
        <w:tc>
          <w:tcPr>
            <w:tcW w:w="1134" w:type="dxa"/>
            <w:shd w:val="clear" w:color="auto" w:fill="auto"/>
          </w:tcPr>
          <w:p w:rsidR="00B608F1" w:rsidRPr="00ED1996" w:rsidRDefault="00B608F1" w:rsidP="00610B65">
            <w:pPr>
              <w:jc w:val="center"/>
              <w:rPr>
                <w:b/>
              </w:rPr>
            </w:pPr>
            <w:r w:rsidRPr="00ED1996">
              <w:rPr>
                <w:b/>
              </w:rPr>
              <w:t>32.9%</w:t>
            </w:r>
          </w:p>
        </w:tc>
        <w:tc>
          <w:tcPr>
            <w:tcW w:w="1134" w:type="dxa"/>
            <w:shd w:val="clear" w:color="auto" w:fill="auto"/>
          </w:tcPr>
          <w:p w:rsidR="00B608F1" w:rsidRPr="00B508C4" w:rsidRDefault="00B608F1" w:rsidP="00610B65">
            <w:pPr>
              <w:jc w:val="center"/>
            </w:pPr>
            <w:r w:rsidRPr="00B508C4">
              <w:t>23.4%</w:t>
            </w:r>
          </w:p>
        </w:tc>
      </w:tr>
      <w:tr w:rsidR="00B608F1" w:rsidRPr="00B508C4" w:rsidTr="00610B65">
        <w:tc>
          <w:tcPr>
            <w:tcW w:w="3936" w:type="dxa"/>
            <w:shd w:val="clear" w:color="auto" w:fill="auto"/>
          </w:tcPr>
          <w:p w:rsidR="00B608F1" w:rsidRPr="00B508C4" w:rsidRDefault="00B608F1" w:rsidP="00610B65">
            <w:pPr>
              <w:jc w:val="both"/>
            </w:pPr>
            <w:r w:rsidRPr="00B508C4">
              <w:rPr>
                <w:noProof/>
              </w:rPr>
              <w:t>Arhag HA Ltd</w:t>
            </w:r>
          </w:p>
        </w:tc>
        <w:tc>
          <w:tcPr>
            <w:tcW w:w="1134" w:type="dxa"/>
            <w:shd w:val="clear" w:color="auto" w:fill="auto"/>
          </w:tcPr>
          <w:p w:rsidR="00B608F1" w:rsidRPr="00B508C4" w:rsidRDefault="00B608F1" w:rsidP="00610B65">
            <w:pPr>
              <w:jc w:val="center"/>
            </w:pPr>
            <w:r w:rsidRPr="00B508C4">
              <w:t>857</w:t>
            </w:r>
          </w:p>
        </w:tc>
        <w:tc>
          <w:tcPr>
            <w:tcW w:w="1134" w:type="dxa"/>
            <w:shd w:val="clear" w:color="auto" w:fill="auto"/>
          </w:tcPr>
          <w:p w:rsidR="00B608F1" w:rsidRPr="00ED1996" w:rsidRDefault="00B608F1" w:rsidP="00610B65">
            <w:pPr>
              <w:jc w:val="center"/>
              <w:rPr>
                <w:b/>
              </w:rPr>
            </w:pPr>
            <w:r w:rsidRPr="00ED1996">
              <w:rPr>
                <w:b/>
              </w:rPr>
              <w:t>27.0%</w:t>
            </w:r>
          </w:p>
        </w:tc>
        <w:tc>
          <w:tcPr>
            <w:tcW w:w="1134" w:type="dxa"/>
            <w:shd w:val="clear" w:color="auto" w:fill="auto"/>
          </w:tcPr>
          <w:p w:rsidR="00B608F1" w:rsidRPr="00B508C4" w:rsidRDefault="00B608F1" w:rsidP="00610B65">
            <w:pPr>
              <w:jc w:val="center"/>
            </w:pPr>
            <w:r w:rsidRPr="00B508C4">
              <w:t>21.7%</w:t>
            </w:r>
          </w:p>
        </w:tc>
      </w:tr>
      <w:tr w:rsidR="00B608F1" w:rsidRPr="00B508C4" w:rsidTr="00610B65">
        <w:tc>
          <w:tcPr>
            <w:tcW w:w="3936" w:type="dxa"/>
            <w:shd w:val="clear" w:color="auto" w:fill="auto"/>
          </w:tcPr>
          <w:p w:rsidR="00B608F1" w:rsidRPr="00B508C4" w:rsidRDefault="00B608F1" w:rsidP="00610B65">
            <w:pPr>
              <w:jc w:val="both"/>
            </w:pPr>
            <w:r w:rsidRPr="00B508C4">
              <w:t>Soho HA</w:t>
            </w:r>
          </w:p>
        </w:tc>
        <w:tc>
          <w:tcPr>
            <w:tcW w:w="1134" w:type="dxa"/>
            <w:shd w:val="clear" w:color="auto" w:fill="auto"/>
          </w:tcPr>
          <w:p w:rsidR="00B608F1" w:rsidRPr="00B508C4" w:rsidRDefault="00B608F1" w:rsidP="00610B65">
            <w:pPr>
              <w:jc w:val="center"/>
            </w:pPr>
            <w:r w:rsidRPr="00B508C4">
              <w:t>742</w:t>
            </w:r>
          </w:p>
        </w:tc>
        <w:tc>
          <w:tcPr>
            <w:tcW w:w="1134" w:type="dxa"/>
            <w:shd w:val="clear" w:color="auto" w:fill="auto"/>
          </w:tcPr>
          <w:p w:rsidR="00B608F1" w:rsidRPr="00ED1996" w:rsidRDefault="00B608F1" w:rsidP="00610B65">
            <w:pPr>
              <w:jc w:val="center"/>
              <w:rPr>
                <w:b/>
              </w:rPr>
            </w:pPr>
            <w:r w:rsidRPr="00ED1996">
              <w:rPr>
                <w:b/>
              </w:rPr>
              <w:t>21.8%</w:t>
            </w:r>
          </w:p>
        </w:tc>
        <w:tc>
          <w:tcPr>
            <w:tcW w:w="1134" w:type="dxa"/>
            <w:shd w:val="clear" w:color="auto" w:fill="auto"/>
          </w:tcPr>
          <w:p w:rsidR="00B608F1" w:rsidRPr="00B508C4" w:rsidRDefault="00B608F1" w:rsidP="00610B65">
            <w:pPr>
              <w:jc w:val="center"/>
            </w:pPr>
            <w:r w:rsidRPr="00B508C4">
              <w:t>31%</w:t>
            </w:r>
          </w:p>
        </w:tc>
      </w:tr>
    </w:tbl>
    <w:p w:rsidR="00B608F1" w:rsidRPr="00B508C4" w:rsidRDefault="00B608F1" w:rsidP="00B608F1">
      <w:pPr>
        <w:pStyle w:val="NormalJust"/>
        <w:rPr>
          <w:sz w:val="20"/>
        </w:rPr>
      </w:pPr>
      <w:r w:rsidRPr="00B508C4">
        <w:rPr>
          <w:sz w:val="20"/>
        </w:rPr>
        <w:t>This indicates that the Association’s profitability on the core business activities has improved significantly since last year and is stronger than that of the benchmarked organisations. The majority of this improvement occurred because of the reduction in planned maintenance expenditure and the Association recognises that this is a one-off and not related to core business activities, it is anticipated that the overall operating margin will revert to levels achieved in previous years.</w:t>
      </w:r>
    </w:p>
    <w:p w:rsidR="00B608F1" w:rsidRPr="00B508C4" w:rsidRDefault="00B608F1" w:rsidP="00B608F1">
      <w:pPr>
        <w:pStyle w:val="NormalJust"/>
        <w:rPr>
          <w:sz w:val="20"/>
        </w:rPr>
      </w:pPr>
      <w:r w:rsidRPr="00B508C4">
        <w:rPr>
          <w:sz w:val="20"/>
        </w:rPr>
        <w:t xml:space="preserve">The </w:t>
      </w:r>
      <w:r w:rsidRPr="00B508C4">
        <w:rPr>
          <w:b/>
          <w:sz w:val="20"/>
        </w:rPr>
        <w:t>Return on Capital Employed</w:t>
      </w:r>
      <w:r w:rsidRPr="00B508C4">
        <w:rPr>
          <w:sz w:val="20"/>
        </w:rPr>
        <w:t xml:space="preserve"> measures profitability and efficiency based on the assets employed to create the surplus. The table relates to General Needs (GN) units only</w:t>
      </w:r>
      <w:r>
        <w:rPr>
          <w:sz w:val="20"/>
        </w:rPr>
        <w:t>.</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559"/>
        <w:gridCol w:w="1276"/>
        <w:gridCol w:w="1417"/>
      </w:tblGrid>
      <w:tr w:rsidR="00B608F1" w:rsidRPr="00B508C4" w:rsidTr="00610B65">
        <w:tc>
          <w:tcPr>
            <w:tcW w:w="3936" w:type="dxa"/>
            <w:shd w:val="clear" w:color="auto" w:fill="auto"/>
          </w:tcPr>
          <w:p w:rsidR="00B608F1" w:rsidRPr="00ED1996" w:rsidRDefault="00B608F1" w:rsidP="00610B65">
            <w:pPr>
              <w:pStyle w:val="NormalJust"/>
              <w:spacing w:before="0" w:after="0"/>
              <w:rPr>
                <w:sz w:val="20"/>
              </w:rPr>
            </w:pPr>
          </w:p>
          <w:p w:rsidR="00B608F1" w:rsidRPr="00ED1996" w:rsidRDefault="00B608F1" w:rsidP="00610B65">
            <w:pPr>
              <w:pStyle w:val="NormalJust"/>
              <w:spacing w:before="0" w:after="0"/>
              <w:rPr>
                <w:sz w:val="20"/>
              </w:rPr>
            </w:pPr>
          </w:p>
        </w:tc>
        <w:tc>
          <w:tcPr>
            <w:tcW w:w="1559" w:type="dxa"/>
            <w:shd w:val="clear" w:color="auto" w:fill="auto"/>
          </w:tcPr>
          <w:p w:rsidR="00B608F1" w:rsidRPr="00ED1996" w:rsidRDefault="00B608F1" w:rsidP="00610B65">
            <w:pPr>
              <w:pStyle w:val="NormalJust"/>
              <w:spacing w:before="0" w:after="0"/>
              <w:jc w:val="center"/>
              <w:rPr>
                <w:sz w:val="20"/>
              </w:rPr>
            </w:pPr>
            <w:r w:rsidRPr="00ED1996">
              <w:rPr>
                <w:sz w:val="20"/>
              </w:rPr>
              <w:t>Housing for Women HA Ltd</w:t>
            </w:r>
          </w:p>
        </w:tc>
        <w:tc>
          <w:tcPr>
            <w:tcW w:w="1276" w:type="dxa"/>
            <w:shd w:val="clear" w:color="auto" w:fill="auto"/>
          </w:tcPr>
          <w:p w:rsidR="00B608F1" w:rsidRPr="00ED1996" w:rsidRDefault="00B608F1" w:rsidP="00610B65">
            <w:pPr>
              <w:pStyle w:val="NormalJust"/>
              <w:spacing w:before="0" w:after="0"/>
              <w:jc w:val="center"/>
              <w:rPr>
                <w:sz w:val="20"/>
              </w:rPr>
            </w:pPr>
            <w:r w:rsidRPr="00ED1996">
              <w:rPr>
                <w:noProof/>
                <w:sz w:val="20"/>
              </w:rPr>
              <w:t>Arhag HA Ltd</w:t>
            </w:r>
          </w:p>
        </w:tc>
        <w:tc>
          <w:tcPr>
            <w:tcW w:w="1417" w:type="dxa"/>
            <w:shd w:val="clear" w:color="auto" w:fill="auto"/>
          </w:tcPr>
          <w:p w:rsidR="00B608F1" w:rsidRPr="00ED1996" w:rsidRDefault="00B608F1" w:rsidP="00610B65">
            <w:pPr>
              <w:pStyle w:val="NormalJust"/>
              <w:spacing w:before="0" w:after="0"/>
              <w:jc w:val="center"/>
              <w:rPr>
                <w:sz w:val="20"/>
              </w:rPr>
            </w:pPr>
            <w:r w:rsidRPr="00ED1996">
              <w:rPr>
                <w:sz w:val="20"/>
              </w:rPr>
              <w:t>Soho HA Ltd</w:t>
            </w:r>
          </w:p>
        </w:tc>
      </w:tr>
      <w:tr w:rsidR="00B608F1" w:rsidRPr="00B508C4" w:rsidTr="00610B65">
        <w:tc>
          <w:tcPr>
            <w:tcW w:w="3936" w:type="dxa"/>
            <w:shd w:val="clear" w:color="auto" w:fill="auto"/>
          </w:tcPr>
          <w:p w:rsidR="00B608F1" w:rsidRPr="00ED1996" w:rsidRDefault="00B608F1" w:rsidP="00610B65">
            <w:pPr>
              <w:pStyle w:val="NormalJust"/>
              <w:spacing w:before="0" w:after="0"/>
              <w:rPr>
                <w:sz w:val="20"/>
              </w:rPr>
            </w:pPr>
            <w:r w:rsidRPr="00ED1996">
              <w:rPr>
                <w:sz w:val="20"/>
              </w:rPr>
              <w:t>Operating Surplus</w:t>
            </w:r>
          </w:p>
        </w:tc>
        <w:tc>
          <w:tcPr>
            <w:tcW w:w="1559" w:type="dxa"/>
            <w:shd w:val="clear" w:color="auto" w:fill="auto"/>
          </w:tcPr>
          <w:p w:rsidR="00B608F1" w:rsidRPr="00B508C4" w:rsidRDefault="00B608F1" w:rsidP="00610B65">
            <w:pPr>
              <w:jc w:val="center"/>
            </w:pPr>
            <w:r w:rsidRPr="00B508C4">
              <w:t>£1,761k</w:t>
            </w:r>
          </w:p>
        </w:tc>
        <w:tc>
          <w:tcPr>
            <w:tcW w:w="1276" w:type="dxa"/>
            <w:shd w:val="clear" w:color="auto" w:fill="auto"/>
          </w:tcPr>
          <w:p w:rsidR="00B608F1" w:rsidRPr="00B508C4" w:rsidRDefault="00B608F1" w:rsidP="00610B65">
            <w:pPr>
              <w:jc w:val="center"/>
            </w:pPr>
            <w:r w:rsidRPr="00B508C4">
              <w:t>£1,292k</w:t>
            </w:r>
          </w:p>
        </w:tc>
        <w:tc>
          <w:tcPr>
            <w:tcW w:w="1417" w:type="dxa"/>
            <w:shd w:val="clear" w:color="auto" w:fill="auto"/>
          </w:tcPr>
          <w:p w:rsidR="00B608F1" w:rsidRPr="00B508C4" w:rsidRDefault="00B608F1" w:rsidP="00610B65">
            <w:pPr>
              <w:jc w:val="center"/>
            </w:pPr>
            <w:r w:rsidRPr="00B508C4">
              <w:t>£1,198k</w:t>
            </w:r>
          </w:p>
        </w:tc>
      </w:tr>
      <w:tr w:rsidR="00B608F1" w:rsidRPr="00B508C4" w:rsidTr="00610B65">
        <w:tc>
          <w:tcPr>
            <w:tcW w:w="3936" w:type="dxa"/>
            <w:shd w:val="clear" w:color="auto" w:fill="auto"/>
          </w:tcPr>
          <w:p w:rsidR="00B608F1" w:rsidRPr="00ED1996" w:rsidRDefault="00B608F1" w:rsidP="00610B65">
            <w:pPr>
              <w:pStyle w:val="NormalJust"/>
              <w:spacing w:before="0" w:after="0"/>
              <w:rPr>
                <w:sz w:val="20"/>
              </w:rPr>
            </w:pPr>
            <w:r w:rsidRPr="00ED1996">
              <w:rPr>
                <w:sz w:val="20"/>
              </w:rPr>
              <w:t>Capital Employed</w:t>
            </w:r>
          </w:p>
        </w:tc>
        <w:tc>
          <w:tcPr>
            <w:tcW w:w="1559" w:type="dxa"/>
            <w:shd w:val="clear" w:color="auto" w:fill="auto"/>
          </w:tcPr>
          <w:p w:rsidR="00B608F1" w:rsidRPr="00B508C4" w:rsidRDefault="00B608F1" w:rsidP="00610B65">
            <w:pPr>
              <w:jc w:val="center"/>
            </w:pPr>
            <w:r w:rsidRPr="00B508C4">
              <w:t>£23,527k</w:t>
            </w:r>
          </w:p>
        </w:tc>
        <w:tc>
          <w:tcPr>
            <w:tcW w:w="1276" w:type="dxa"/>
            <w:shd w:val="clear" w:color="auto" w:fill="auto"/>
          </w:tcPr>
          <w:p w:rsidR="00B608F1" w:rsidRPr="00B508C4" w:rsidRDefault="00B608F1" w:rsidP="00610B65">
            <w:pPr>
              <w:jc w:val="center"/>
            </w:pPr>
            <w:r w:rsidRPr="00B508C4">
              <w:t>£28,015k</w:t>
            </w:r>
          </w:p>
        </w:tc>
        <w:tc>
          <w:tcPr>
            <w:tcW w:w="1417" w:type="dxa"/>
            <w:shd w:val="clear" w:color="auto" w:fill="auto"/>
          </w:tcPr>
          <w:p w:rsidR="00B608F1" w:rsidRPr="00B508C4" w:rsidRDefault="00B608F1" w:rsidP="00610B65">
            <w:pPr>
              <w:jc w:val="center"/>
            </w:pPr>
            <w:r w:rsidRPr="00B508C4">
              <w:t>£53,618k</w:t>
            </w:r>
          </w:p>
        </w:tc>
      </w:tr>
      <w:tr w:rsidR="00B608F1" w:rsidRPr="00B508C4" w:rsidTr="00610B65">
        <w:tc>
          <w:tcPr>
            <w:tcW w:w="3936" w:type="dxa"/>
            <w:shd w:val="clear" w:color="auto" w:fill="auto"/>
          </w:tcPr>
          <w:p w:rsidR="00B608F1" w:rsidRPr="00ED1996" w:rsidRDefault="00B608F1" w:rsidP="00610B65">
            <w:pPr>
              <w:pStyle w:val="NormalJust"/>
              <w:spacing w:before="0" w:after="0"/>
              <w:rPr>
                <w:b/>
                <w:sz w:val="20"/>
              </w:rPr>
            </w:pPr>
            <w:r w:rsidRPr="00ED1996">
              <w:rPr>
                <w:b/>
                <w:sz w:val="20"/>
              </w:rPr>
              <w:t>Return on Capital Employed 2015</w:t>
            </w:r>
          </w:p>
        </w:tc>
        <w:tc>
          <w:tcPr>
            <w:tcW w:w="1559" w:type="dxa"/>
            <w:shd w:val="clear" w:color="auto" w:fill="auto"/>
          </w:tcPr>
          <w:p w:rsidR="00B608F1" w:rsidRPr="00ED1996" w:rsidRDefault="00B608F1" w:rsidP="00610B65">
            <w:pPr>
              <w:jc w:val="center"/>
              <w:rPr>
                <w:b/>
              </w:rPr>
            </w:pPr>
            <w:r w:rsidRPr="00ED1996">
              <w:rPr>
                <w:b/>
              </w:rPr>
              <w:t>7.49%</w:t>
            </w:r>
          </w:p>
        </w:tc>
        <w:tc>
          <w:tcPr>
            <w:tcW w:w="1276" w:type="dxa"/>
            <w:shd w:val="clear" w:color="auto" w:fill="auto"/>
          </w:tcPr>
          <w:p w:rsidR="00B608F1" w:rsidRPr="00ED1996" w:rsidRDefault="00B608F1" w:rsidP="00610B65">
            <w:pPr>
              <w:jc w:val="center"/>
              <w:rPr>
                <w:b/>
              </w:rPr>
            </w:pPr>
            <w:r w:rsidRPr="00ED1996">
              <w:rPr>
                <w:b/>
              </w:rPr>
              <w:t>4.61%</w:t>
            </w:r>
          </w:p>
        </w:tc>
        <w:tc>
          <w:tcPr>
            <w:tcW w:w="1417" w:type="dxa"/>
            <w:shd w:val="clear" w:color="auto" w:fill="auto"/>
          </w:tcPr>
          <w:p w:rsidR="00B608F1" w:rsidRPr="00ED1996" w:rsidRDefault="00B608F1" w:rsidP="00610B65">
            <w:pPr>
              <w:jc w:val="center"/>
              <w:rPr>
                <w:b/>
              </w:rPr>
            </w:pPr>
            <w:r w:rsidRPr="00ED1996">
              <w:rPr>
                <w:b/>
              </w:rPr>
              <w:t>2.23%</w:t>
            </w:r>
          </w:p>
        </w:tc>
      </w:tr>
      <w:tr w:rsidR="00B608F1" w:rsidRPr="00B508C4" w:rsidTr="00610B65">
        <w:tc>
          <w:tcPr>
            <w:tcW w:w="3936" w:type="dxa"/>
            <w:shd w:val="clear" w:color="auto" w:fill="auto"/>
          </w:tcPr>
          <w:p w:rsidR="00B608F1" w:rsidRPr="00ED1996" w:rsidRDefault="00B608F1" w:rsidP="00610B65">
            <w:pPr>
              <w:pStyle w:val="NormalJust"/>
              <w:spacing w:before="0" w:after="0"/>
              <w:rPr>
                <w:sz w:val="20"/>
              </w:rPr>
            </w:pPr>
            <w:r w:rsidRPr="00ED1996">
              <w:rPr>
                <w:sz w:val="20"/>
              </w:rPr>
              <w:t>Return on Capital Employed 2014</w:t>
            </w:r>
          </w:p>
        </w:tc>
        <w:tc>
          <w:tcPr>
            <w:tcW w:w="1559" w:type="dxa"/>
            <w:shd w:val="clear" w:color="auto" w:fill="auto"/>
          </w:tcPr>
          <w:p w:rsidR="00B608F1" w:rsidRPr="00B508C4" w:rsidRDefault="00B608F1" w:rsidP="00610B65">
            <w:pPr>
              <w:jc w:val="center"/>
            </w:pPr>
            <w:r w:rsidRPr="00B508C4">
              <w:t>5.3%</w:t>
            </w:r>
          </w:p>
        </w:tc>
        <w:tc>
          <w:tcPr>
            <w:tcW w:w="1276" w:type="dxa"/>
            <w:shd w:val="clear" w:color="auto" w:fill="auto"/>
          </w:tcPr>
          <w:p w:rsidR="00B608F1" w:rsidRPr="00B508C4" w:rsidRDefault="00B608F1" w:rsidP="00610B65">
            <w:pPr>
              <w:jc w:val="center"/>
            </w:pPr>
            <w:r w:rsidRPr="00B508C4">
              <w:t>3.6%</w:t>
            </w:r>
          </w:p>
        </w:tc>
        <w:tc>
          <w:tcPr>
            <w:tcW w:w="1417" w:type="dxa"/>
            <w:shd w:val="clear" w:color="auto" w:fill="auto"/>
          </w:tcPr>
          <w:p w:rsidR="00B608F1" w:rsidRPr="00B508C4" w:rsidRDefault="00B608F1" w:rsidP="00610B65">
            <w:pPr>
              <w:jc w:val="center"/>
            </w:pPr>
            <w:r w:rsidRPr="00B508C4">
              <w:t>2.6%</w:t>
            </w:r>
          </w:p>
        </w:tc>
      </w:tr>
    </w:tbl>
    <w:p w:rsidR="00B608F1" w:rsidRDefault="00B608F1" w:rsidP="00B608F1">
      <w:pPr>
        <w:pStyle w:val="NormalJust"/>
        <w:rPr>
          <w:sz w:val="20"/>
        </w:rPr>
      </w:pPr>
      <w:r w:rsidRPr="00B508C4">
        <w:rPr>
          <w:sz w:val="20"/>
        </w:rPr>
        <w:t>Again we can see that Housing for Women’s performance has improved year on year and is better than that of our competitors, even when we take account of the reduced planned maintenance expenditure. This could be explained by the fact that many of our property assets were purchased some time ago and are held at cost. Although we have similar property numbers, the value of capital employed is much lower than the other associations.</w:t>
      </w:r>
    </w:p>
    <w:p w:rsidR="00B608F1" w:rsidRDefault="00B608F1" w:rsidP="00B608F1">
      <w:pPr>
        <w:pStyle w:val="NormalJust"/>
        <w:rPr>
          <w:sz w:val="20"/>
        </w:rPr>
      </w:pPr>
      <w:r w:rsidRPr="00B508C4">
        <w:rPr>
          <w:sz w:val="20"/>
        </w:rPr>
        <w:t xml:space="preserve">The </w:t>
      </w:r>
      <w:r w:rsidRPr="00B508C4">
        <w:rPr>
          <w:b/>
          <w:sz w:val="20"/>
        </w:rPr>
        <w:t xml:space="preserve">Gearing and Interest Cover </w:t>
      </w:r>
      <w:r w:rsidRPr="00B508C4">
        <w:rPr>
          <w:sz w:val="20"/>
        </w:rPr>
        <w:t xml:space="preserve">ratios measure the level of debt finance and the Association’s ability to repay loans as and when they fall due.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1559"/>
        <w:gridCol w:w="1417"/>
        <w:gridCol w:w="1418"/>
      </w:tblGrid>
      <w:tr w:rsidR="00B608F1" w:rsidRPr="00B508C4" w:rsidTr="00610B65">
        <w:tc>
          <w:tcPr>
            <w:tcW w:w="4503" w:type="dxa"/>
            <w:shd w:val="clear" w:color="auto" w:fill="auto"/>
          </w:tcPr>
          <w:p w:rsidR="00B608F1" w:rsidRPr="00ED1996" w:rsidRDefault="00B608F1" w:rsidP="00610B65">
            <w:pPr>
              <w:pStyle w:val="NormalJust"/>
              <w:spacing w:before="0" w:after="0"/>
              <w:rPr>
                <w:sz w:val="20"/>
              </w:rPr>
            </w:pPr>
          </w:p>
          <w:p w:rsidR="00B608F1" w:rsidRPr="00ED1996" w:rsidRDefault="00B608F1" w:rsidP="00610B65">
            <w:pPr>
              <w:pStyle w:val="NormalJust"/>
              <w:spacing w:before="0" w:after="0"/>
              <w:rPr>
                <w:sz w:val="20"/>
              </w:rPr>
            </w:pPr>
          </w:p>
        </w:tc>
        <w:tc>
          <w:tcPr>
            <w:tcW w:w="1559" w:type="dxa"/>
            <w:shd w:val="clear" w:color="auto" w:fill="auto"/>
          </w:tcPr>
          <w:p w:rsidR="00B608F1" w:rsidRPr="00ED1996" w:rsidRDefault="00B608F1" w:rsidP="00610B65">
            <w:pPr>
              <w:pStyle w:val="NormalJust"/>
              <w:spacing w:before="0" w:after="0"/>
              <w:jc w:val="center"/>
              <w:rPr>
                <w:sz w:val="20"/>
              </w:rPr>
            </w:pPr>
            <w:r w:rsidRPr="00ED1996">
              <w:rPr>
                <w:sz w:val="20"/>
              </w:rPr>
              <w:t>Housing for Women HA Ltd</w:t>
            </w:r>
          </w:p>
        </w:tc>
        <w:tc>
          <w:tcPr>
            <w:tcW w:w="1417" w:type="dxa"/>
            <w:shd w:val="clear" w:color="auto" w:fill="auto"/>
          </w:tcPr>
          <w:p w:rsidR="00B608F1" w:rsidRPr="00ED1996" w:rsidRDefault="00B608F1" w:rsidP="00610B65">
            <w:pPr>
              <w:pStyle w:val="NormalJust"/>
              <w:spacing w:before="0" w:after="0"/>
              <w:jc w:val="center"/>
              <w:rPr>
                <w:sz w:val="20"/>
              </w:rPr>
            </w:pPr>
            <w:r w:rsidRPr="00ED1996">
              <w:rPr>
                <w:noProof/>
                <w:sz w:val="20"/>
              </w:rPr>
              <w:t>Arhag   HA Ltd</w:t>
            </w:r>
          </w:p>
        </w:tc>
        <w:tc>
          <w:tcPr>
            <w:tcW w:w="1418" w:type="dxa"/>
            <w:shd w:val="clear" w:color="auto" w:fill="auto"/>
          </w:tcPr>
          <w:p w:rsidR="00B608F1" w:rsidRPr="00ED1996" w:rsidRDefault="00B608F1" w:rsidP="00610B65">
            <w:pPr>
              <w:pStyle w:val="NormalJust"/>
              <w:spacing w:before="0" w:after="0"/>
              <w:jc w:val="center"/>
              <w:rPr>
                <w:sz w:val="20"/>
              </w:rPr>
            </w:pPr>
            <w:r w:rsidRPr="00ED1996">
              <w:rPr>
                <w:sz w:val="20"/>
              </w:rPr>
              <w:t>Soho    HA Ltd</w:t>
            </w:r>
          </w:p>
        </w:tc>
      </w:tr>
      <w:tr w:rsidR="00B608F1" w:rsidRPr="00B508C4" w:rsidTr="00610B65">
        <w:tc>
          <w:tcPr>
            <w:tcW w:w="4503" w:type="dxa"/>
            <w:shd w:val="clear" w:color="auto" w:fill="auto"/>
          </w:tcPr>
          <w:p w:rsidR="00B608F1" w:rsidRPr="00ED1996" w:rsidRDefault="00B608F1" w:rsidP="00610B65">
            <w:pPr>
              <w:pStyle w:val="NormalJust"/>
              <w:spacing w:before="0" w:after="0"/>
              <w:rPr>
                <w:sz w:val="20"/>
              </w:rPr>
            </w:pPr>
            <w:r w:rsidRPr="00ED1996">
              <w:rPr>
                <w:sz w:val="20"/>
              </w:rPr>
              <w:t>Net Surplus for the year</w:t>
            </w:r>
          </w:p>
        </w:tc>
        <w:tc>
          <w:tcPr>
            <w:tcW w:w="1559" w:type="dxa"/>
            <w:shd w:val="clear" w:color="auto" w:fill="auto"/>
          </w:tcPr>
          <w:p w:rsidR="00B608F1" w:rsidRPr="00B508C4" w:rsidRDefault="00B608F1" w:rsidP="00610B65">
            <w:pPr>
              <w:jc w:val="center"/>
            </w:pPr>
            <w:r w:rsidRPr="00B508C4">
              <w:t>£1,761k</w:t>
            </w:r>
          </w:p>
        </w:tc>
        <w:tc>
          <w:tcPr>
            <w:tcW w:w="1417" w:type="dxa"/>
            <w:shd w:val="clear" w:color="auto" w:fill="auto"/>
          </w:tcPr>
          <w:p w:rsidR="00B608F1" w:rsidRPr="00B508C4" w:rsidRDefault="00B608F1" w:rsidP="00610B65">
            <w:pPr>
              <w:jc w:val="center"/>
            </w:pPr>
            <w:r w:rsidRPr="00B508C4">
              <w:t>£1,292k</w:t>
            </w:r>
          </w:p>
        </w:tc>
        <w:tc>
          <w:tcPr>
            <w:tcW w:w="1418" w:type="dxa"/>
            <w:shd w:val="clear" w:color="auto" w:fill="auto"/>
          </w:tcPr>
          <w:p w:rsidR="00B608F1" w:rsidRPr="00B508C4" w:rsidRDefault="00B608F1" w:rsidP="00610B65">
            <w:pPr>
              <w:jc w:val="center"/>
            </w:pPr>
            <w:r w:rsidRPr="00B508C4">
              <w:t>£1,198k</w:t>
            </w:r>
          </w:p>
        </w:tc>
      </w:tr>
      <w:tr w:rsidR="00B608F1" w:rsidRPr="00B508C4" w:rsidTr="00610B65">
        <w:tc>
          <w:tcPr>
            <w:tcW w:w="4503" w:type="dxa"/>
            <w:shd w:val="clear" w:color="auto" w:fill="auto"/>
            <w:vAlign w:val="center"/>
          </w:tcPr>
          <w:p w:rsidR="00B608F1" w:rsidRPr="00ED1996" w:rsidRDefault="00B608F1" w:rsidP="00610B65">
            <w:pPr>
              <w:pStyle w:val="NormalJust"/>
              <w:spacing w:before="0" w:after="0"/>
              <w:rPr>
                <w:sz w:val="20"/>
              </w:rPr>
            </w:pPr>
            <w:r w:rsidRPr="00ED1996">
              <w:rPr>
                <w:sz w:val="20"/>
              </w:rPr>
              <w:t>Interest payable and similar charges</w:t>
            </w:r>
          </w:p>
        </w:tc>
        <w:tc>
          <w:tcPr>
            <w:tcW w:w="1559" w:type="dxa"/>
            <w:shd w:val="clear" w:color="auto" w:fill="auto"/>
            <w:vAlign w:val="center"/>
          </w:tcPr>
          <w:p w:rsidR="00B608F1" w:rsidRPr="00B508C4" w:rsidRDefault="00B608F1" w:rsidP="00610B65">
            <w:pPr>
              <w:jc w:val="center"/>
            </w:pPr>
            <w:r w:rsidRPr="00B508C4">
              <w:t>£528k</w:t>
            </w:r>
          </w:p>
        </w:tc>
        <w:tc>
          <w:tcPr>
            <w:tcW w:w="1417" w:type="dxa"/>
            <w:shd w:val="clear" w:color="auto" w:fill="auto"/>
            <w:vAlign w:val="center"/>
          </w:tcPr>
          <w:p w:rsidR="00B608F1" w:rsidRPr="00B508C4" w:rsidRDefault="00B608F1" w:rsidP="00610B65">
            <w:pPr>
              <w:jc w:val="center"/>
            </w:pPr>
            <w:r w:rsidRPr="00B508C4">
              <w:t>£665k</w:t>
            </w:r>
          </w:p>
        </w:tc>
        <w:tc>
          <w:tcPr>
            <w:tcW w:w="1418" w:type="dxa"/>
            <w:shd w:val="clear" w:color="auto" w:fill="auto"/>
            <w:vAlign w:val="center"/>
          </w:tcPr>
          <w:p w:rsidR="00B608F1" w:rsidRPr="00B508C4" w:rsidRDefault="00B608F1" w:rsidP="00610B65">
            <w:pPr>
              <w:jc w:val="center"/>
            </w:pPr>
            <w:r w:rsidRPr="00B508C4">
              <w:t>£1,383m</w:t>
            </w:r>
          </w:p>
        </w:tc>
      </w:tr>
      <w:tr w:rsidR="00B608F1" w:rsidRPr="00B508C4" w:rsidTr="00610B65">
        <w:tc>
          <w:tcPr>
            <w:tcW w:w="4503" w:type="dxa"/>
            <w:shd w:val="clear" w:color="auto" w:fill="auto"/>
          </w:tcPr>
          <w:p w:rsidR="00B608F1" w:rsidRPr="00ED1996" w:rsidRDefault="00B608F1" w:rsidP="00610B65">
            <w:pPr>
              <w:pStyle w:val="NormalJust"/>
              <w:spacing w:before="0" w:after="0"/>
              <w:rPr>
                <w:sz w:val="20"/>
              </w:rPr>
            </w:pPr>
            <w:r w:rsidRPr="00ED1996">
              <w:rPr>
                <w:sz w:val="20"/>
              </w:rPr>
              <w:t>Long term debt</w:t>
            </w:r>
          </w:p>
        </w:tc>
        <w:tc>
          <w:tcPr>
            <w:tcW w:w="1559" w:type="dxa"/>
            <w:shd w:val="clear" w:color="auto" w:fill="auto"/>
          </w:tcPr>
          <w:p w:rsidR="00B608F1" w:rsidRPr="00B508C4" w:rsidRDefault="00B608F1" w:rsidP="00610B65">
            <w:pPr>
              <w:jc w:val="center"/>
            </w:pPr>
            <w:r w:rsidRPr="00B508C4">
              <w:t>£15,787k</w:t>
            </w:r>
          </w:p>
        </w:tc>
        <w:tc>
          <w:tcPr>
            <w:tcW w:w="1417" w:type="dxa"/>
            <w:shd w:val="clear" w:color="auto" w:fill="auto"/>
          </w:tcPr>
          <w:p w:rsidR="00B608F1" w:rsidRPr="00B508C4" w:rsidRDefault="00B608F1" w:rsidP="00610B65">
            <w:pPr>
              <w:jc w:val="center"/>
            </w:pPr>
            <w:r w:rsidRPr="00B508C4">
              <w:t>£13,694k</w:t>
            </w:r>
          </w:p>
        </w:tc>
        <w:tc>
          <w:tcPr>
            <w:tcW w:w="1418" w:type="dxa"/>
            <w:shd w:val="clear" w:color="auto" w:fill="auto"/>
          </w:tcPr>
          <w:p w:rsidR="00B608F1" w:rsidRPr="00B508C4" w:rsidRDefault="00B608F1" w:rsidP="00610B65">
            <w:pPr>
              <w:jc w:val="center"/>
            </w:pPr>
            <w:r w:rsidRPr="00B508C4">
              <w:t>£32,831k</w:t>
            </w:r>
          </w:p>
        </w:tc>
      </w:tr>
      <w:tr w:rsidR="00B608F1" w:rsidRPr="00B508C4" w:rsidTr="00610B65">
        <w:tc>
          <w:tcPr>
            <w:tcW w:w="4503" w:type="dxa"/>
            <w:shd w:val="clear" w:color="auto" w:fill="auto"/>
          </w:tcPr>
          <w:p w:rsidR="00B608F1" w:rsidRPr="00ED1996" w:rsidRDefault="00B608F1" w:rsidP="00610B65">
            <w:pPr>
              <w:pStyle w:val="NormalJust"/>
              <w:spacing w:before="0" w:after="0"/>
              <w:rPr>
                <w:sz w:val="20"/>
              </w:rPr>
            </w:pPr>
            <w:r w:rsidRPr="00ED1996">
              <w:rPr>
                <w:sz w:val="20"/>
              </w:rPr>
              <w:t>Assets</w:t>
            </w:r>
          </w:p>
        </w:tc>
        <w:tc>
          <w:tcPr>
            <w:tcW w:w="1559" w:type="dxa"/>
            <w:shd w:val="clear" w:color="auto" w:fill="auto"/>
          </w:tcPr>
          <w:p w:rsidR="00B608F1" w:rsidRPr="00B508C4" w:rsidRDefault="00B608F1" w:rsidP="00610B65">
            <w:pPr>
              <w:jc w:val="center"/>
            </w:pPr>
            <w:r w:rsidRPr="00B508C4">
              <w:t>£79,255k</w:t>
            </w:r>
          </w:p>
        </w:tc>
        <w:tc>
          <w:tcPr>
            <w:tcW w:w="1417" w:type="dxa"/>
            <w:shd w:val="clear" w:color="auto" w:fill="auto"/>
          </w:tcPr>
          <w:p w:rsidR="00B608F1" w:rsidRPr="00B508C4" w:rsidRDefault="00B608F1" w:rsidP="00610B65">
            <w:pPr>
              <w:jc w:val="center"/>
            </w:pPr>
            <w:r w:rsidRPr="00B508C4">
              <w:t>£72,881k</w:t>
            </w:r>
          </w:p>
        </w:tc>
        <w:tc>
          <w:tcPr>
            <w:tcW w:w="1418" w:type="dxa"/>
            <w:shd w:val="clear" w:color="auto" w:fill="auto"/>
          </w:tcPr>
          <w:p w:rsidR="00B608F1" w:rsidRPr="00B508C4" w:rsidRDefault="00B608F1" w:rsidP="00610B65">
            <w:pPr>
              <w:jc w:val="center"/>
            </w:pPr>
            <w:r w:rsidRPr="00B508C4">
              <w:t>£116,107k</w:t>
            </w:r>
          </w:p>
        </w:tc>
      </w:tr>
      <w:tr w:rsidR="00B608F1" w:rsidRPr="00B508C4" w:rsidTr="00610B65">
        <w:tc>
          <w:tcPr>
            <w:tcW w:w="4503" w:type="dxa"/>
            <w:shd w:val="clear" w:color="auto" w:fill="auto"/>
          </w:tcPr>
          <w:p w:rsidR="00B608F1" w:rsidRPr="00ED1996" w:rsidRDefault="00B608F1" w:rsidP="00610B65">
            <w:pPr>
              <w:pStyle w:val="NormalJust"/>
              <w:spacing w:before="0" w:after="0"/>
              <w:rPr>
                <w:b/>
                <w:sz w:val="20"/>
              </w:rPr>
            </w:pPr>
            <w:r w:rsidRPr="00ED1996">
              <w:rPr>
                <w:b/>
                <w:sz w:val="20"/>
              </w:rPr>
              <w:t xml:space="preserve">Gearing </w:t>
            </w:r>
          </w:p>
        </w:tc>
        <w:tc>
          <w:tcPr>
            <w:tcW w:w="1559" w:type="dxa"/>
            <w:shd w:val="clear" w:color="auto" w:fill="auto"/>
          </w:tcPr>
          <w:p w:rsidR="00B608F1" w:rsidRPr="00ED1996" w:rsidRDefault="00B608F1" w:rsidP="00610B65">
            <w:pPr>
              <w:jc w:val="center"/>
              <w:rPr>
                <w:b/>
              </w:rPr>
            </w:pPr>
            <w:r w:rsidRPr="00ED1996">
              <w:rPr>
                <w:b/>
              </w:rPr>
              <w:t>19.9%</w:t>
            </w:r>
          </w:p>
        </w:tc>
        <w:tc>
          <w:tcPr>
            <w:tcW w:w="1417" w:type="dxa"/>
            <w:shd w:val="clear" w:color="auto" w:fill="auto"/>
          </w:tcPr>
          <w:p w:rsidR="00B608F1" w:rsidRPr="00ED1996" w:rsidRDefault="00B608F1" w:rsidP="00610B65">
            <w:pPr>
              <w:jc w:val="center"/>
              <w:rPr>
                <w:b/>
              </w:rPr>
            </w:pPr>
            <w:r w:rsidRPr="00ED1996">
              <w:rPr>
                <w:b/>
              </w:rPr>
              <w:t>18.8%</w:t>
            </w:r>
          </w:p>
        </w:tc>
        <w:tc>
          <w:tcPr>
            <w:tcW w:w="1418" w:type="dxa"/>
            <w:shd w:val="clear" w:color="auto" w:fill="auto"/>
          </w:tcPr>
          <w:p w:rsidR="00B608F1" w:rsidRPr="00ED1996" w:rsidRDefault="00B608F1" w:rsidP="00610B65">
            <w:pPr>
              <w:jc w:val="center"/>
              <w:rPr>
                <w:b/>
              </w:rPr>
            </w:pPr>
            <w:r w:rsidRPr="00ED1996">
              <w:rPr>
                <w:b/>
              </w:rPr>
              <w:t>28.3%</w:t>
            </w:r>
          </w:p>
        </w:tc>
      </w:tr>
      <w:tr w:rsidR="00B608F1" w:rsidRPr="00B508C4" w:rsidTr="00610B65">
        <w:tc>
          <w:tcPr>
            <w:tcW w:w="4503" w:type="dxa"/>
            <w:shd w:val="clear" w:color="auto" w:fill="auto"/>
          </w:tcPr>
          <w:p w:rsidR="00B608F1" w:rsidRPr="00ED1996" w:rsidRDefault="00B608F1" w:rsidP="00610B65">
            <w:pPr>
              <w:pStyle w:val="NormalJust"/>
              <w:spacing w:before="0" w:after="0"/>
              <w:rPr>
                <w:b/>
                <w:sz w:val="20"/>
              </w:rPr>
            </w:pPr>
            <w:r w:rsidRPr="00ED1996">
              <w:rPr>
                <w:b/>
                <w:sz w:val="20"/>
              </w:rPr>
              <w:t>Interest Cover</w:t>
            </w:r>
          </w:p>
        </w:tc>
        <w:tc>
          <w:tcPr>
            <w:tcW w:w="1559" w:type="dxa"/>
            <w:shd w:val="clear" w:color="auto" w:fill="auto"/>
          </w:tcPr>
          <w:p w:rsidR="00B608F1" w:rsidRPr="00ED1996" w:rsidRDefault="00B608F1" w:rsidP="00610B65">
            <w:pPr>
              <w:jc w:val="center"/>
              <w:rPr>
                <w:b/>
              </w:rPr>
            </w:pPr>
            <w:r w:rsidRPr="00ED1996">
              <w:rPr>
                <w:b/>
              </w:rPr>
              <w:t>2.43</w:t>
            </w:r>
          </w:p>
        </w:tc>
        <w:tc>
          <w:tcPr>
            <w:tcW w:w="1417" w:type="dxa"/>
            <w:shd w:val="clear" w:color="auto" w:fill="auto"/>
          </w:tcPr>
          <w:p w:rsidR="00B608F1" w:rsidRPr="00ED1996" w:rsidRDefault="00B608F1" w:rsidP="00610B65">
            <w:pPr>
              <w:jc w:val="center"/>
              <w:rPr>
                <w:b/>
              </w:rPr>
            </w:pPr>
            <w:r w:rsidRPr="00ED1996">
              <w:rPr>
                <w:b/>
              </w:rPr>
              <w:t>2.15</w:t>
            </w:r>
          </w:p>
        </w:tc>
        <w:tc>
          <w:tcPr>
            <w:tcW w:w="1418" w:type="dxa"/>
            <w:shd w:val="clear" w:color="auto" w:fill="auto"/>
          </w:tcPr>
          <w:p w:rsidR="00B608F1" w:rsidRPr="00ED1996" w:rsidRDefault="00B608F1" w:rsidP="00610B65">
            <w:pPr>
              <w:jc w:val="center"/>
              <w:rPr>
                <w:b/>
              </w:rPr>
            </w:pPr>
            <w:r w:rsidRPr="00ED1996">
              <w:rPr>
                <w:b/>
              </w:rPr>
              <w:t>4.17</w:t>
            </w:r>
          </w:p>
        </w:tc>
      </w:tr>
      <w:tr w:rsidR="00B608F1" w:rsidRPr="00B508C4" w:rsidTr="00610B65">
        <w:tc>
          <w:tcPr>
            <w:tcW w:w="4503" w:type="dxa"/>
            <w:shd w:val="clear" w:color="auto" w:fill="auto"/>
          </w:tcPr>
          <w:p w:rsidR="00B608F1" w:rsidRPr="00ED1996" w:rsidRDefault="00B608F1" w:rsidP="00610B65">
            <w:pPr>
              <w:pStyle w:val="NormalJust"/>
              <w:spacing w:before="0" w:after="0"/>
              <w:rPr>
                <w:b/>
                <w:sz w:val="20"/>
              </w:rPr>
            </w:pPr>
            <w:r w:rsidRPr="00ED1996">
              <w:rPr>
                <w:b/>
                <w:sz w:val="20"/>
              </w:rPr>
              <w:t>Interest Cover (Excluding sales)</w:t>
            </w:r>
          </w:p>
        </w:tc>
        <w:tc>
          <w:tcPr>
            <w:tcW w:w="1559" w:type="dxa"/>
            <w:shd w:val="clear" w:color="auto" w:fill="auto"/>
          </w:tcPr>
          <w:p w:rsidR="00B608F1" w:rsidRPr="00ED1996" w:rsidRDefault="00B608F1" w:rsidP="00610B65">
            <w:pPr>
              <w:jc w:val="center"/>
              <w:rPr>
                <w:b/>
              </w:rPr>
            </w:pPr>
            <w:r w:rsidRPr="00ED1996">
              <w:rPr>
                <w:b/>
              </w:rPr>
              <w:t>2.43</w:t>
            </w:r>
          </w:p>
        </w:tc>
        <w:tc>
          <w:tcPr>
            <w:tcW w:w="1417" w:type="dxa"/>
            <w:shd w:val="clear" w:color="auto" w:fill="auto"/>
          </w:tcPr>
          <w:p w:rsidR="00B608F1" w:rsidRPr="00ED1996" w:rsidRDefault="00B608F1" w:rsidP="00610B65">
            <w:pPr>
              <w:jc w:val="center"/>
              <w:rPr>
                <w:b/>
              </w:rPr>
            </w:pPr>
            <w:r w:rsidRPr="00ED1996">
              <w:rPr>
                <w:b/>
              </w:rPr>
              <w:t>1.39</w:t>
            </w:r>
          </w:p>
        </w:tc>
        <w:tc>
          <w:tcPr>
            <w:tcW w:w="1418" w:type="dxa"/>
            <w:shd w:val="clear" w:color="auto" w:fill="auto"/>
          </w:tcPr>
          <w:p w:rsidR="00B608F1" w:rsidRPr="00ED1996" w:rsidRDefault="00B608F1" w:rsidP="00610B65">
            <w:pPr>
              <w:jc w:val="center"/>
              <w:rPr>
                <w:b/>
              </w:rPr>
            </w:pPr>
            <w:r w:rsidRPr="00ED1996">
              <w:rPr>
                <w:b/>
                <w:color w:val="FF0000"/>
              </w:rPr>
              <w:t>-1.69</w:t>
            </w:r>
          </w:p>
        </w:tc>
      </w:tr>
    </w:tbl>
    <w:p w:rsidR="00B608F1" w:rsidRPr="00B508C4" w:rsidRDefault="00B608F1" w:rsidP="00B608F1">
      <w:pPr>
        <w:pStyle w:val="NormalJust"/>
        <w:spacing w:before="0" w:after="0"/>
        <w:ind w:left="5041"/>
        <w:rPr>
          <w:sz w:val="20"/>
        </w:rPr>
      </w:pPr>
    </w:p>
    <w:p w:rsidR="00B608F1" w:rsidRPr="00B508C4" w:rsidRDefault="00B608F1" w:rsidP="00B608F1">
      <w:pPr>
        <w:pStyle w:val="NormalJust"/>
        <w:rPr>
          <w:sz w:val="20"/>
        </w:rPr>
      </w:pPr>
      <w:r w:rsidRPr="00B508C4">
        <w:rPr>
          <w:sz w:val="20"/>
        </w:rPr>
        <w:t xml:space="preserve">Some lenders use these ratios as loan covenants to ensure that borrowers don’t over extend themselves and can repay interest when it is due. Housing for Women has capacity to take on more borrowing and has the funds available to make interest payments as and when they fall due. </w:t>
      </w:r>
    </w:p>
    <w:p w:rsidR="00B608F1" w:rsidRPr="00B508C4" w:rsidRDefault="00B608F1" w:rsidP="00B608F1">
      <w:pPr>
        <w:pStyle w:val="NormalJust"/>
        <w:rPr>
          <w:sz w:val="20"/>
        </w:rPr>
      </w:pPr>
      <w:r w:rsidRPr="00B508C4">
        <w:rPr>
          <w:sz w:val="20"/>
        </w:rPr>
        <w:t>This was further validated by the results we achieved when we stress tested the business plan to destruction. Our scenario analysis determined that only if rents were to continue to be decreased by 1% in perpetuity and interest rates rose to 10% would deficits begin in 2022 and we would run out of cash in the same year.</w:t>
      </w:r>
    </w:p>
    <w:p w:rsidR="00B608F1" w:rsidRPr="00B508C4" w:rsidRDefault="00B608F1" w:rsidP="00B608F1">
      <w:pPr>
        <w:pStyle w:val="NormalJust"/>
        <w:rPr>
          <w:sz w:val="20"/>
        </w:rPr>
      </w:pPr>
      <w:r w:rsidRPr="00B508C4">
        <w:rPr>
          <w:sz w:val="20"/>
        </w:rPr>
        <w:t>Our average annual borrowing costs are very low (2.2%) and the bulk of our loans are ‘locked in’ until at least 2020. We recognise that if we want to increase the number of properties we own we would require a new loan facility for further borrowing and this would be at a higher rate of interest; however we still have the option to fix the remaining floating rate loans to ensure the cost of borrowing remains competitive.</w:t>
      </w:r>
    </w:p>
    <w:p w:rsidR="00B608F1" w:rsidRPr="00B508C4" w:rsidRDefault="00B608F1" w:rsidP="00B608F1">
      <w:pPr>
        <w:pStyle w:val="NormalJust"/>
        <w:rPr>
          <w:sz w:val="20"/>
        </w:rPr>
      </w:pPr>
      <w:r w:rsidRPr="00B508C4">
        <w:rPr>
          <w:sz w:val="20"/>
        </w:rPr>
        <w:t>As mentioned in the strategic review of the business the Association has commissioned an asset review, a further benefit of the review is that it will inform the asset management strategy</w:t>
      </w:r>
      <w:r>
        <w:rPr>
          <w:sz w:val="20"/>
        </w:rPr>
        <w:t>.</w:t>
      </w:r>
      <w:r w:rsidRPr="00B508C4">
        <w:rPr>
          <w:sz w:val="20"/>
        </w:rPr>
        <w:t xml:space="preserve"> Planned and major repair expenditure is targeted to ensure that monies expended will maximise the property’s useful life and minimise costs. Ultimately the results of the review will lead to optimised decision making and Housing for Women making the best use of each individual property asset. </w:t>
      </w:r>
    </w:p>
    <w:p w:rsidR="00B608F1" w:rsidRDefault="00B608F1" w:rsidP="00B608F1">
      <w:pPr>
        <w:pStyle w:val="Heading1"/>
        <w:jc w:val="both"/>
        <w:rPr>
          <w:sz w:val="20"/>
        </w:rPr>
      </w:pPr>
      <w:r w:rsidRPr="00B508C4">
        <w:rPr>
          <w:sz w:val="20"/>
        </w:rPr>
        <w:t>OPERATIONAL PERFORMANCE</w:t>
      </w:r>
    </w:p>
    <w:p w:rsidR="00B608F1" w:rsidRPr="00D07C94" w:rsidRDefault="00B608F1" w:rsidP="00B608F1"/>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838"/>
        <w:gridCol w:w="1134"/>
        <w:gridCol w:w="992"/>
      </w:tblGrid>
      <w:tr w:rsidR="00B608F1" w:rsidRPr="00B508C4" w:rsidTr="00610B65">
        <w:trPr>
          <w:trHeight w:val="611"/>
        </w:trPr>
        <w:tc>
          <w:tcPr>
            <w:tcW w:w="4649" w:type="dxa"/>
            <w:shd w:val="clear" w:color="auto" w:fill="auto"/>
          </w:tcPr>
          <w:p w:rsidR="00B608F1" w:rsidRPr="00ED1996" w:rsidRDefault="00B608F1" w:rsidP="00610B65">
            <w:pPr>
              <w:pStyle w:val="NormalJust"/>
              <w:spacing w:before="0" w:after="0"/>
              <w:rPr>
                <w:sz w:val="20"/>
              </w:rPr>
            </w:pPr>
          </w:p>
          <w:p w:rsidR="00B608F1" w:rsidRPr="00ED1996" w:rsidRDefault="00B608F1" w:rsidP="00610B65">
            <w:pPr>
              <w:pStyle w:val="NormalJust"/>
              <w:spacing w:before="0" w:after="0"/>
              <w:rPr>
                <w:sz w:val="20"/>
              </w:rPr>
            </w:pPr>
          </w:p>
        </w:tc>
        <w:tc>
          <w:tcPr>
            <w:tcW w:w="1838" w:type="dxa"/>
            <w:shd w:val="clear" w:color="auto" w:fill="auto"/>
          </w:tcPr>
          <w:p w:rsidR="00B608F1" w:rsidRPr="00ED1996" w:rsidRDefault="00B608F1" w:rsidP="00610B65">
            <w:pPr>
              <w:pStyle w:val="NormalJust"/>
              <w:spacing w:before="0" w:after="0"/>
              <w:jc w:val="center"/>
              <w:rPr>
                <w:sz w:val="20"/>
              </w:rPr>
            </w:pPr>
            <w:r w:rsidRPr="00ED1996">
              <w:rPr>
                <w:sz w:val="20"/>
              </w:rPr>
              <w:t>Housing for Women HA Ltd</w:t>
            </w:r>
          </w:p>
        </w:tc>
        <w:tc>
          <w:tcPr>
            <w:tcW w:w="1134" w:type="dxa"/>
            <w:shd w:val="clear" w:color="auto" w:fill="auto"/>
          </w:tcPr>
          <w:p w:rsidR="00B608F1" w:rsidRPr="00ED1996" w:rsidRDefault="00B608F1" w:rsidP="00610B65">
            <w:pPr>
              <w:pStyle w:val="NormalJust"/>
              <w:spacing w:before="0" w:after="0"/>
              <w:jc w:val="center"/>
              <w:rPr>
                <w:sz w:val="20"/>
              </w:rPr>
            </w:pPr>
            <w:r w:rsidRPr="00ED1996">
              <w:rPr>
                <w:noProof/>
                <w:sz w:val="20"/>
              </w:rPr>
              <w:t>Arhag HA Ltd</w:t>
            </w:r>
          </w:p>
        </w:tc>
        <w:tc>
          <w:tcPr>
            <w:tcW w:w="992" w:type="dxa"/>
            <w:shd w:val="clear" w:color="auto" w:fill="auto"/>
          </w:tcPr>
          <w:p w:rsidR="00B608F1" w:rsidRPr="00ED1996" w:rsidRDefault="00B608F1" w:rsidP="00610B65">
            <w:pPr>
              <w:pStyle w:val="NormalJust"/>
              <w:spacing w:before="0" w:after="0"/>
              <w:jc w:val="center"/>
              <w:rPr>
                <w:sz w:val="20"/>
              </w:rPr>
            </w:pPr>
            <w:r w:rsidRPr="00ED1996">
              <w:rPr>
                <w:sz w:val="20"/>
              </w:rPr>
              <w:t>Soho HA Ltd</w:t>
            </w:r>
          </w:p>
        </w:tc>
      </w:tr>
      <w:tr w:rsidR="00B608F1" w:rsidRPr="00B508C4" w:rsidTr="00610B65">
        <w:trPr>
          <w:trHeight w:val="262"/>
        </w:trPr>
        <w:tc>
          <w:tcPr>
            <w:tcW w:w="4649" w:type="dxa"/>
            <w:shd w:val="clear" w:color="auto" w:fill="auto"/>
          </w:tcPr>
          <w:p w:rsidR="00B608F1" w:rsidRPr="00ED1996" w:rsidRDefault="00B608F1" w:rsidP="00610B65">
            <w:pPr>
              <w:pStyle w:val="NormalJust"/>
              <w:spacing w:before="0" w:after="0"/>
              <w:rPr>
                <w:sz w:val="20"/>
              </w:rPr>
            </w:pPr>
            <w:r w:rsidRPr="00ED1996">
              <w:rPr>
                <w:sz w:val="20"/>
              </w:rPr>
              <w:t>Operating costs (GN only)</w:t>
            </w:r>
          </w:p>
        </w:tc>
        <w:tc>
          <w:tcPr>
            <w:tcW w:w="1838" w:type="dxa"/>
            <w:shd w:val="clear" w:color="auto" w:fill="auto"/>
          </w:tcPr>
          <w:p w:rsidR="00B608F1" w:rsidRPr="00B508C4" w:rsidRDefault="00B608F1" w:rsidP="00610B65">
            <w:pPr>
              <w:jc w:val="center"/>
            </w:pPr>
            <w:r w:rsidRPr="00B508C4">
              <w:t>£3,677k</w:t>
            </w:r>
          </w:p>
        </w:tc>
        <w:tc>
          <w:tcPr>
            <w:tcW w:w="1134" w:type="dxa"/>
            <w:shd w:val="clear" w:color="auto" w:fill="auto"/>
          </w:tcPr>
          <w:p w:rsidR="00B608F1" w:rsidRPr="00B508C4" w:rsidRDefault="00B608F1" w:rsidP="00610B65">
            <w:pPr>
              <w:jc w:val="center"/>
            </w:pPr>
            <w:r w:rsidRPr="00B508C4">
              <w:t>£3,497k</w:t>
            </w:r>
          </w:p>
        </w:tc>
        <w:tc>
          <w:tcPr>
            <w:tcW w:w="992" w:type="dxa"/>
            <w:shd w:val="clear" w:color="auto" w:fill="auto"/>
          </w:tcPr>
          <w:p w:rsidR="00B608F1" w:rsidRPr="00B508C4" w:rsidRDefault="00B608F1" w:rsidP="00610B65">
            <w:pPr>
              <w:jc w:val="center"/>
            </w:pPr>
            <w:r w:rsidRPr="00B508C4">
              <w:t>£4,291k</w:t>
            </w:r>
          </w:p>
        </w:tc>
      </w:tr>
      <w:tr w:rsidR="00B608F1" w:rsidRPr="00B508C4" w:rsidTr="00610B65">
        <w:trPr>
          <w:trHeight w:val="250"/>
        </w:trPr>
        <w:tc>
          <w:tcPr>
            <w:tcW w:w="4649" w:type="dxa"/>
            <w:shd w:val="clear" w:color="auto" w:fill="auto"/>
          </w:tcPr>
          <w:p w:rsidR="00B608F1" w:rsidRPr="00ED1996" w:rsidRDefault="00B608F1" w:rsidP="00610B65">
            <w:pPr>
              <w:pStyle w:val="NormalJust"/>
              <w:spacing w:before="0" w:after="0"/>
              <w:rPr>
                <w:sz w:val="20"/>
              </w:rPr>
            </w:pPr>
            <w:r w:rsidRPr="00ED1996">
              <w:rPr>
                <w:sz w:val="20"/>
              </w:rPr>
              <w:t>Total Operating costs</w:t>
            </w:r>
            <w:r>
              <w:rPr>
                <w:sz w:val="20"/>
              </w:rPr>
              <w:t xml:space="preserve"> (Letting)</w:t>
            </w:r>
          </w:p>
        </w:tc>
        <w:tc>
          <w:tcPr>
            <w:tcW w:w="1838" w:type="dxa"/>
            <w:shd w:val="clear" w:color="auto" w:fill="auto"/>
          </w:tcPr>
          <w:p w:rsidR="00B608F1" w:rsidRPr="00B508C4" w:rsidRDefault="00B608F1" w:rsidP="00610B65">
            <w:pPr>
              <w:jc w:val="center"/>
            </w:pPr>
            <w:r w:rsidRPr="00B508C4">
              <w:t>£5,522k</w:t>
            </w:r>
          </w:p>
        </w:tc>
        <w:tc>
          <w:tcPr>
            <w:tcW w:w="1134" w:type="dxa"/>
            <w:shd w:val="clear" w:color="auto" w:fill="auto"/>
          </w:tcPr>
          <w:p w:rsidR="00B608F1" w:rsidRPr="00B508C4" w:rsidRDefault="00B608F1" w:rsidP="00610B65">
            <w:pPr>
              <w:jc w:val="center"/>
            </w:pPr>
            <w:r w:rsidRPr="00B508C4">
              <w:t>£4,246k</w:t>
            </w:r>
          </w:p>
        </w:tc>
        <w:tc>
          <w:tcPr>
            <w:tcW w:w="992" w:type="dxa"/>
            <w:shd w:val="clear" w:color="auto" w:fill="auto"/>
          </w:tcPr>
          <w:p w:rsidR="00B608F1" w:rsidRPr="00B508C4" w:rsidRDefault="00B608F1" w:rsidP="00610B65">
            <w:pPr>
              <w:jc w:val="center"/>
            </w:pPr>
            <w:r w:rsidRPr="00B508C4">
              <w:t>£5,029k</w:t>
            </w:r>
          </w:p>
        </w:tc>
      </w:tr>
      <w:tr w:rsidR="00B608F1" w:rsidRPr="00B508C4" w:rsidTr="00610B65">
        <w:trPr>
          <w:trHeight w:val="297"/>
        </w:trPr>
        <w:tc>
          <w:tcPr>
            <w:tcW w:w="4649" w:type="dxa"/>
            <w:shd w:val="clear" w:color="auto" w:fill="auto"/>
          </w:tcPr>
          <w:p w:rsidR="00B608F1" w:rsidRPr="00ED1996" w:rsidRDefault="00B608F1" w:rsidP="00610B65">
            <w:pPr>
              <w:pStyle w:val="NormalJust"/>
              <w:spacing w:before="0" w:after="0"/>
              <w:rPr>
                <w:b/>
                <w:sz w:val="20"/>
              </w:rPr>
            </w:pPr>
            <w:r w:rsidRPr="00ED1996">
              <w:rPr>
                <w:b/>
                <w:sz w:val="20"/>
              </w:rPr>
              <w:t>Weekly Operating costs per unit (GN only)</w:t>
            </w:r>
          </w:p>
        </w:tc>
        <w:tc>
          <w:tcPr>
            <w:tcW w:w="1838" w:type="dxa"/>
            <w:shd w:val="clear" w:color="auto" w:fill="auto"/>
          </w:tcPr>
          <w:p w:rsidR="00B608F1" w:rsidRPr="00ED1996" w:rsidRDefault="00B608F1" w:rsidP="00610B65">
            <w:pPr>
              <w:jc w:val="center"/>
              <w:rPr>
                <w:b/>
              </w:rPr>
            </w:pPr>
            <w:r w:rsidRPr="00ED1996">
              <w:rPr>
                <w:b/>
              </w:rPr>
              <w:t>£84.58</w:t>
            </w:r>
          </w:p>
        </w:tc>
        <w:tc>
          <w:tcPr>
            <w:tcW w:w="1134" w:type="dxa"/>
            <w:shd w:val="clear" w:color="auto" w:fill="auto"/>
          </w:tcPr>
          <w:p w:rsidR="00B608F1" w:rsidRPr="00ED1996" w:rsidRDefault="00B608F1" w:rsidP="00610B65">
            <w:pPr>
              <w:jc w:val="center"/>
              <w:rPr>
                <w:b/>
              </w:rPr>
            </w:pPr>
            <w:r w:rsidRPr="00ED1996">
              <w:rPr>
                <w:b/>
              </w:rPr>
              <w:t>£78.46</w:t>
            </w:r>
          </w:p>
        </w:tc>
        <w:tc>
          <w:tcPr>
            <w:tcW w:w="992" w:type="dxa"/>
            <w:shd w:val="clear" w:color="auto" w:fill="auto"/>
          </w:tcPr>
          <w:p w:rsidR="00B608F1" w:rsidRPr="00ED1996" w:rsidRDefault="00B608F1" w:rsidP="00610B65">
            <w:pPr>
              <w:jc w:val="center"/>
              <w:rPr>
                <w:b/>
              </w:rPr>
            </w:pPr>
            <w:r w:rsidRPr="00ED1996">
              <w:rPr>
                <w:b/>
              </w:rPr>
              <w:t>£111.21</w:t>
            </w:r>
          </w:p>
        </w:tc>
      </w:tr>
      <w:tr w:rsidR="00B608F1" w:rsidRPr="00B508C4" w:rsidTr="00610B65">
        <w:trPr>
          <w:trHeight w:val="273"/>
        </w:trPr>
        <w:tc>
          <w:tcPr>
            <w:tcW w:w="4649" w:type="dxa"/>
            <w:shd w:val="clear" w:color="auto" w:fill="auto"/>
          </w:tcPr>
          <w:p w:rsidR="00B608F1" w:rsidRPr="00ED1996" w:rsidRDefault="00B608F1" w:rsidP="00610B65">
            <w:pPr>
              <w:pStyle w:val="NormalJust"/>
              <w:spacing w:before="0" w:after="0"/>
              <w:rPr>
                <w:b/>
                <w:sz w:val="20"/>
              </w:rPr>
            </w:pPr>
            <w:r w:rsidRPr="00ED1996">
              <w:rPr>
                <w:b/>
                <w:sz w:val="20"/>
              </w:rPr>
              <w:t>Total Weekly Operating cost per unit</w:t>
            </w:r>
          </w:p>
        </w:tc>
        <w:tc>
          <w:tcPr>
            <w:tcW w:w="1838" w:type="dxa"/>
            <w:shd w:val="clear" w:color="auto" w:fill="auto"/>
          </w:tcPr>
          <w:p w:rsidR="00B608F1" w:rsidRPr="00ED1996" w:rsidRDefault="00B608F1" w:rsidP="00610B65">
            <w:pPr>
              <w:jc w:val="center"/>
              <w:rPr>
                <w:b/>
              </w:rPr>
            </w:pPr>
            <w:r w:rsidRPr="00ED1996">
              <w:rPr>
                <w:b/>
              </w:rPr>
              <w:t>£127.02</w:t>
            </w:r>
          </w:p>
        </w:tc>
        <w:tc>
          <w:tcPr>
            <w:tcW w:w="1134" w:type="dxa"/>
            <w:shd w:val="clear" w:color="auto" w:fill="auto"/>
          </w:tcPr>
          <w:p w:rsidR="00B608F1" w:rsidRPr="00ED1996" w:rsidRDefault="00B608F1" w:rsidP="00610B65">
            <w:pPr>
              <w:jc w:val="center"/>
              <w:rPr>
                <w:b/>
              </w:rPr>
            </w:pPr>
            <w:r w:rsidRPr="00ED1996">
              <w:rPr>
                <w:b/>
              </w:rPr>
              <w:t>£95.27</w:t>
            </w:r>
          </w:p>
        </w:tc>
        <w:tc>
          <w:tcPr>
            <w:tcW w:w="992" w:type="dxa"/>
            <w:shd w:val="clear" w:color="auto" w:fill="auto"/>
          </w:tcPr>
          <w:p w:rsidR="00B608F1" w:rsidRPr="00ED1996" w:rsidRDefault="00B608F1" w:rsidP="00610B65">
            <w:pPr>
              <w:jc w:val="center"/>
              <w:rPr>
                <w:b/>
              </w:rPr>
            </w:pPr>
            <w:r w:rsidRPr="00ED1996">
              <w:rPr>
                <w:b/>
              </w:rPr>
              <w:t>£130.34</w:t>
            </w:r>
          </w:p>
        </w:tc>
      </w:tr>
    </w:tbl>
    <w:p w:rsidR="00B608F1" w:rsidRDefault="00B608F1" w:rsidP="00B608F1">
      <w:pPr>
        <w:pStyle w:val="NormalJust"/>
        <w:rPr>
          <w:sz w:val="20"/>
        </w:rPr>
      </w:pPr>
    </w:p>
    <w:p w:rsidR="00B608F1" w:rsidRPr="00B508C4" w:rsidRDefault="00B608F1" w:rsidP="00B608F1">
      <w:pPr>
        <w:pStyle w:val="NormalJust"/>
        <w:rPr>
          <w:sz w:val="20"/>
        </w:rPr>
      </w:pPr>
      <w:r w:rsidRPr="00B508C4">
        <w:rPr>
          <w:sz w:val="20"/>
        </w:rPr>
        <w:t>Housing for Women’s operating costs for general needs are comparable with other similar providers. The overall operating cost is higher because other providers have commercial activities with higher rates of return. Our supported housing projects have lower rates of return (but high social value)</w:t>
      </w:r>
      <w:proofErr w:type="gramStart"/>
      <w:r w:rsidRPr="00B508C4">
        <w:rPr>
          <w:sz w:val="20"/>
        </w:rPr>
        <w:t>,</w:t>
      </w:r>
      <w:proofErr w:type="gramEnd"/>
      <w:r w:rsidRPr="00B508C4">
        <w:rPr>
          <w:sz w:val="20"/>
        </w:rPr>
        <w:t xml:space="preserve"> these projects are undertaken at the discretion of the Board.</w:t>
      </w:r>
    </w:p>
    <w:p w:rsidR="00B608F1" w:rsidRPr="00B508C4" w:rsidRDefault="00B608F1" w:rsidP="00B608F1">
      <w:pPr>
        <w:pStyle w:val="NormalJust"/>
        <w:rPr>
          <w:sz w:val="20"/>
        </w:rPr>
      </w:pPr>
      <w:r w:rsidRPr="00B508C4">
        <w:rPr>
          <w:sz w:val="20"/>
        </w:rPr>
        <w:t xml:space="preserve">During the year Housing for Women’s previous benchmarking provider SPBM ceased to provide an appropriate and relevant group for Housing for Women. In response we have joined </w:t>
      </w:r>
      <w:proofErr w:type="spellStart"/>
      <w:r w:rsidRPr="00B508C4">
        <w:rPr>
          <w:sz w:val="20"/>
        </w:rPr>
        <w:t>Housemark</w:t>
      </w:r>
      <w:proofErr w:type="spellEnd"/>
      <w:r w:rsidRPr="00B508C4">
        <w:rPr>
          <w:sz w:val="20"/>
        </w:rPr>
        <w:t xml:space="preserve"> but due to our September year end, we have not yet been able to produce benchmarking data. This is a priority for 2016. We also initiated conversations with a similar sized Association to compare and contrast back office costs and potentially share some services given that they operate in similar London boroughs and have a similar client group.</w:t>
      </w:r>
    </w:p>
    <w:p w:rsidR="00B608F1" w:rsidRDefault="00B608F1" w:rsidP="00B608F1">
      <w:pPr>
        <w:pStyle w:val="NormalJust"/>
        <w:rPr>
          <w:sz w:val="20"/>
        </w:rPr>
      </w:pPr>
      <w:r w:rsidRPr="00B508C4">
        <w:rPr>
          <w:sz w:val="20"/>
        </w:rPr>
        <w:t>Until the above exercises are complete, we have produced some further performance benchmarking to assist in understanding how our costs compare to other similar sized associations.</w:t>
      </w:r>
    </w:p>
    <w:p w:rsidR="00B608F1" w:rsidRDefault="00B608F1" w:rsidP="00B608F1">
      <w:pPr>
        <w:pStyle w:val="NormalJust"/>
        <w:rPr>
          <w:b/>
          <w:sz w:val="20"/>
        </w:rPr>
      </w:pPr>
    </w:p>
    <w:p w:rsidR="00B608F1" w:rsidRPr="00B508C4" w:rsidRDefault="00B608F1" w:rsidP="00B608F1">
      <w:pPr>
        <w:pStyle w:val="NormalJust"/>
        <w:rPr>
          <w:b/>
          <w:sz w:val="20"/>
        </w:rPr>
      </w:pPr>
      <w:r w:rsidRPr="00B508C4">
        <w:rPr>
          <w:b/>
          <w:sz w:val="20"/>
        </w:rPr>
        <w:t>OTHER PERFORMANCE COMPARISONS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174"/>
        <w:gridCol w:w="1150"/>
        <w:gridCol w:w="1134"/>
        <w:gridCol w:w="992"/>
      </w:tblGrid>
      <w:tr w:rsidR="00B608F1" w:rsidRPr="00B508C4" w:rsidTr="00610B65">
        <w:trPr>
          <w:trHeight w:val="774"/>
        </w:trPr>
        <w:tc>
          <w:tcPr>
            <w:tcW w:w="3738" w:type="dxa"/>
            <w:shd w:val="clear" w:color="auto" w:fill="auto"/>
          </w:tcPr>
          <w:p w:rsidR="00B608F1" w:rsidRPr="00ED1996" w:rsidRDefault="00B608F1" w:rsidP="00610B65">
            <w:pPr>
              <w:pStyle w:val="NormalJust"/>
              <w:spacing w:before="0" w:after="0"/>
              <w:rPr>
                <w:sz w:val="20"/>
              </w:rPr>
            </w:pPr>
          </w:p>
        </w:tc>
        <w:tc>
          <w:tcPr>
            <w:tcW w:w="1174" w:type="dxa"/>
            <w:shd w:val="clear" w:color="auto" w:fill="auto"/>
          </w:tcPr>
          <w:p w:rsidR="00B608F1" w:rsidRPr="00ED1996" w:rsidRDefault="00B608F1" w:rsidP="00610B65">
            <w:pPr>
              <w:pStyle w:val="NormalJust"/>
              <w:spacing w:before="0" w:after="0"/>
              <w:jc w:val="center"/>
              <w:rPr>
                <w:sz w:val="20"/>
              </w:rPr>
            </w:pPr>
            <w:r w:rsidRPr="00ED1996">
              <w:rPr>
                <w:sz w:val="20"/>
              </w:rPr>
              <w:t>Housing for Women 2014</w:t>
            </w:r>
          </w:p>
        </w:tc>
        <w:tc>
          <w:tcPr>
            <w:tcW w:w="1150" w:type="dxa"/>
            <w:shd w:val="clear" w:color="auto" w:fill="auto"/>
            <w:hideMark/>
          </w:tcPr>
          <w:p w:rsidR="00B608F1" w:rsidRPr="00ED1996" w:rsidRDefault="00B608F1" w:rsidP="00610B65">
            <w:pPr>
              <w:pStyle w:val="NormalJust"/>
              <w:spacing w:before="0" w:after="0"/>
              <w:jc w:val="center"/>
              <w:rPr>
                <w:sz w:val="20"/>
              </w:rPr>
            </w:pPr>
            <w:r w:rsidRPr="00ED1996">
              <w:rPr>
                <w:sz w:val="20"/>
              </w:rPr>
              <w:t>Housing for Women 2015</w:t>
            </w:r>
          </w:p>
        </w:tc>
        <w:tc>
          <w:tcPr>
            <w:tcW w:w="1134" w:type="dxa"/>
            <w:shd w:val="clear" w:color="auto" w:fill="auto"/>
            <w:noWrap/>
            <w:hideMark/>
          </w:tcPr>
          <w:p w:rsidR="00B608F1" w:rsidRPr="00ED1996" w:rsidRDefault="00B608F1" w:rsidP="00610B65">
            <w:pPr>
              <w:pStyle w:val="NormalJust"/>
              <w:spacing w:before="0" w:after="0"/>
              <w:jc w:val="center"/>
              <w:rPr>
                <w:sz w:val="20"/>
              </w:rPr>
            </w:pPr>
            <w:proofErr w:type="spellStart"/>
            <w:r w:rsidRPr="00ED1996">
              <w:rPr>
                <w:sz w:val="20"/>
              </w:rPr>
              <w:t>Arhag</w:t>
            </w:r>
            <w:proofErr w:type="spellEnd"/>
          </w:p>
          <w:p w:rsidR="00B608F1" w:rsidRPr="00ED1996" w:rsidRDefault="00B608F1" w:rsidP="00610B65">
            <w:pPr>
              <w:pStyle w:val="NormalJust"/>
              <w:spacing w:before="0" w:after="0"/>
              <w:jc w:val="center"/>
              <w:rPr>
                <w:sz w:val="20"/>
              </w:rPr>
            </w:pPr>
            <w:r w:rsidRPr="00ED1996">
              <w:rPr>
                <w:sz w:val="20"/>
              </w:rPr>
              <w:t>HA Ltd</w:t>
            </w:r>
          </w:p>
          <w:p w:rsidR="00B608F1" w:rsidRPr="00ED1996" w:rsidRDefault="00B608F1" w:rsidP="00610B65">
            <w:pPr>
              <w:pStyle w:val="NormalJust"/>
              <w:spacing w:before="0" w:after="0"/>
              <w:jc w:val="center"/>
              <w:rPr>
                <w:sz w:val="20"/>
              </w:rPr>
            </w:pPr>
            <w:r w:rsidRPr="00ED1996">
              <w:rPr>
                <w:sz w:val="20"/>
              </w:rPr>
              <w:t>2015</w:t>
            </w:r>
          </w:p>
        </w:tc>
        <w:tc>
          <w:tcPr>
            <w:tcW w:w="992" w:type="dxa"/>
            <w:shd w:val="clear" w:color="auto" w:fill="auto"/>
            <w:noWrap/>
            <w:hideMark/>
          </w:tcPr>
          <w:p w:rsidR="00B608F1" w:rsidRPr="00ED1996" w:rsidRDefault="00B608F1" w:rsidP="00610B65">
            <w:pPr>
              <w:pStyle w:val="NormalJust"/>
              <w:spacing w:before="0" w:after="0"/>
              <w:jc w:val="center"/>
              <w:rPr>
                <w:sz w:val="20"/>
              </w:rPr>
            </w:pPr>
            <w:r w:rsidRPr="00ED1996">
              <w:rPr>
                <w:sz w:val="20"/>
              </w:rPr>
              <w:t>SOHO</w:t>
            </w:r>
          </w:p>
          <w:p w:rsidR="00B608F1" w:rsidRPr="00ED1996" w:rsidRDefault="00B608F1" w:rsidP="00610B65">
            <w:pPr>
              <w:pStyle w:val="NormalJust"/>
              <w:spacing w:before="0" w:after="0"/>
              <w:jc w:val="center"/>
              <w:rPr>
                <w:sz w:val="20"/>
              </w:rPr>
            </w:pPr>
            <w:r w:rsidRPr="00ED1996">
              <w:rPr>
                <w:sz w:val="20"/>
              </w:rPr>
              <w:t>HA Ltd</w:t>
            </w:r>
          </w:p>
          <w:p w:rsidR="00B608F1" w:rsidRPr="00ED1996" w:rsidRDefault="00B608F1" w:rsidP="00610B65">
            <w:pPr>
              <w:pStyle w:val="NormalJust"/>
              <w:spacing w:before="0" w:after="0"/>
              <w:jc w:val="center"/>
              <w:rPr>
                <w:sz w:val="20"/>
              </w:rPr>
            </w:pPr>
            <w:r w:rsidRPr="00ED1996">
              <w:rPr>
                <w:sz w:val="20"/>
              </w:rPr>
              <w:t>2015</w:t>
            </w:r>
          </w:p>
        </w:tc>
      </w:tr>
      <w:tr w:rsidR="00B608F1" w:rsidRPr="00B508C4" w:rsidTr="00610B65">
        <w:trPr>
          <w:trHeight w:val="161"/>
        </w:trPr>
        <w:tc>
          <w:tcPr>
            <w:tcW w:w="3738" w:type="dxa"/>
            <w:shd w:val="clear" w:color="auto" w:fill="auto"/>
          </w:tcPr>
          <w:p w:rsidR="00B608F1" w:rsidRPr="00B508C4" w:rsidRDefault="00B608F1" w:rsidP="00610B65">
            <w:pPr>
              <w:jc w:val="both"/>
            </w:pPr>
            <w:r w:rsidRPr="00B508C4">
              <w:t>Responsive repairs per week</w:t>
            </w:r>
          </w:p>
        </w:tc>
        <w:tc>
          <w:tcPr>
            <w:tcW w:w="1174" w:type="dxa"/>
            <w:shd w:val="clear" w:color="auto" w:fill="auto"/>
          </w:tcPr>
          <w:p w:rsidR="00B608F1" w:rsidRPr="00B508C4" w:rsidRDefault="00B608F1" w:rsidP="00610B65">
            <w:pPr>
              <w:jc w:val="center"/>
            </w:pPr>
            <w:r w:rsidRPr="00B508C4">
              <w:t>£34.35</w:t>
            </w:r>
          </w:p>
        </w:tc>
        <w:tc>
          <w:tcPr>
            <w:tcW w:w="1150" w:type="dxa"/>
            <w:shd w:val="clear" w:color="auto" w:fill="auto"/>
          </w:tcPr>
          <w:p w:rsidR="00B608F1" w:rsidRPr="00B508C4" w:rsidRDefault="00B608F1" w:rsidP="00610B65">
            <w:pPr>
              <w:jc w:val="center"/>
            </w:pPr>
            <w:r w:rsidRPr="00B508C4">
              <w:t>£39.27</w:t>
            </w:r>
          </w:p>
        </w:tc>
        <w:tc>
          <w:tcPr>
            <w:tcW w:w="1134" w:type="dxa"/>
            <w:shd w:val="clear" w:color="auto" w:fill="auto"/>
            <w:noWrap/>
          </w:tcPr>
          <w:p w:rsidR="00B608F1" w:rsidRPr="00B508C4" w:rsidRDefault="00B608F1" w:rsidP="00610B65">
            <w:pPr>
              <w:jc w:val="center"/>
            </w:pPr>
            <w:r w:rsidRPr="00B508C4">
              <w:t>£13.27</w:t>
            </w:r>
          </w:p>
        </w:tc>
        <w:tc>
          <w:tcPr>
            <w:tcW w:w="992" w:type="dxa"/>
            <w:shd w:val="clear" w:color="auto" w:fill="auto"/>
            <w:noWrap/>
          </w:tcPr>
          <w:p w:rsidR="00B608F1" w:rsidRPr="00B508C4" w:rsidRDefault="00B608F1" w:rsidP="00610B65">
            <w:pPr>
              <w:jc w:val="center"/>
            </w:pPr>
            <w:r w:rsidRPr="00B508C4">
              <w:t>£21.26</w:t>
            </w:r>
          </w:p>
        </w:tc>
      </w:tr>
      <w:tr w:rsidR="00B608F1" w:rsidRPr="00B508C4" w:rsidTr="00610B65">
        <w:trPr>
          <w:trHeight w:val="165"/>
        </w:trPr>
        <w:tc>
          <w:tcPr>
            <w:tcW w:w="3738" w:type="dxa"/>
            <w:shd w:val="clear" w:color="auto" w:fill="auto"/>
          </w:tcPr>
          <w:p w:rsidR="00B608F1" w:rsidRPr="00B508C4" w:rsidRDefault="00B608F1" w:rsidP="00610B65">
            <w:pPr>
              <w:jc w:val="both"/>
            </w:pPr>
            <w:r w:rsidRPr="00B508C4">
              <w:t>Planned &amp; Major Repairs per week</w:t>
            </w:r>
          </w:p>
        </w:tc>
        <w:tc>
          <w:tcPr>
            <w:tcW w:w="1174" w:type="dxa"/>
            <w:shd w:val="clear" w:color="auto" w:fill="auto"/>
          </w:tcPr>
          <w:p w:rsidR="00B608F1" w:rsidRPr="00B508C4" w:rsidRDefault="00B608F1" w:rsidP="00610B65">
            <w:pPr>
              <w:jc w:val="center"/>
            </w:pPr>
            <w:r w:rsidRPr="00B508C4">
              <w:t>£25.10</w:t>
            </w:r>
          </w:p>
        </w:tc>
        <w:tc>
          <w:tcPr>
            <w:tcW w:w="1150" w:type="dxa"/>
            <w:shd w:val="clear" w:color="auto" w:fill="auto"/>
          </w:tcPr>
          <w:p w:rsidR="00B608F1" w:rsidRPr="00B508C4" w:rsidRDefault="00B608F1" w:rsidP="00610B65">
            <w:pPr>
              <w:jc w:val="center"/>
            </w:pPr>
            <w:r w:rsidRPr="00B508C4">
              <w:t>£5.10</w:t>
            </w:r>
          </w:p>
        </w:tc>
        <w:tc>
          <w:tcPr>
            <w:tcW w:w="1134" w:type="dxa"/>
            <w:shd w:val="clear" w:color="auto" w:fill="auto"/>
            <w:noWrap/>
          </w:tcPr>
          <w:p w:rsidR="00B608F1" w:rsidRPr="00B508C4" w:rsidRDefault="00B608F1" w:rsidP="00610B65">
            <w:pPr>
              <w:jc w:val="center"/>
            </w:pPr>
            <w:r w:rsidRPr="00B508C4">
              <w:t>£11.87</w:t>
            </w:r>
          </w:p>
        </w:tc>
        <w:tc>
          <w:tcPr>
            <w:tcW w:w="992" w:type="dxa"/>
            <w:shd w:val="clear" w:color="auto" w:fill="auto"/>
            <w:noWrap/>
          </w:tcPr>
          <w:p w:rsidR="00B608F1" w:rsidRPr="00B508C4" w:rsidRDefault="00B608F1" w:rsidP="00610B65">
            <w:pPr>
              <w:jc w:val="center"/>
            </w:pPr>
            <w:r w:rsidRPr="00B508C4">
              <w:t>£21.23</w:t>
            </w:r>
          </w:p>
        </w:tc>
      </w:tr>
      <w:tr w:rsidR="00B608F1" w:rsidRPr="00B508C4" w:rsidTr="00610B65">
        <w:trPr>
          <w:trHeight w:val="44"/>
        </w:trPr>
        <w:tc>
          <w:tcPr>
            <w:tcW w:w="3738" w:type="dxa"/>
            <w:shd w:val="clear" w:color="auto" w:fill="auto"/>
          </w:tcPr>
          <w:p w:rsidR="00B608F1" w:rsidRPr="00B508C4" w:rsidRDefault="00B608F1" w:rsidP="00610B65">
            <w:pPr>
              <w:jc w:val="both"/>
            </w:pPr>
            <w:r w:rsidRPr="00B508C4">
              <w:t>Management costs per week</w:t>
            </w:r>
          </w:p>
        </w:tc>
        <w:tc>
          <w:tcPr>
            <w:tcW w:w="1174" w:type="dxa"/>
            <w:shd w:val="clear" w:color="auto" w:fill="auto"/>
          </w:tcPr>
          <w:p w:rsidR="00B608F1" w:rsidRPr="00B508C4" w:rsidRDefault="00B608F1" w:rsidP="00610B65">
            <w:pPr>
              <w:jc w:val="center"/>
            </w:pPr>
            <w:r w:rsidRPr="00B508C4">
              <w:t>£20.73</w:t>
            </w:r>
          </w:p>
        </w:tc>
        <w:tc>
          <w:tcPr>
            <w:tcW w:w="1150" w:type="dxa"/>
            <w:shd w:val="clear" w:color="auto" w:fill="auto"/>
          </w:tcPr>
          <w:p w:rsidR="00B608F1" w:rsidRPr="00B508C4" w:rsidRDefault="00B608F1" w:rsidP="00610B65">
            <w:pPr>
              <w:jc w:val="center"/>
            </w:pPr>
            <w:r w:rsidRPr="00B508C4">
              <w:t>£20.41</w:t>
            </w:r>
          </w:p>
        </w:tc>
        <w:tc>
          <w:tcPr>
            <w:tcW w:w="1134" w:type="dxa"/>
            <w:shd w:val="clear" w:color="auto" w:fill="auto"/>
            <w:noWrap/>
          </w:tcPr>
          <w:p w:rsidR="00B608F1" w:rsidRPr="00B508C4" w:rsidRDefault="00B608F1" w:rsidP="00610B65">
            <w:pPr>
              <w:jc w:val="center"/>
            </w:pPr>
            <w:r w:rsidRPr="00B508C4">
              <w:t>£31.61</w:t>
            </w:r>
          </w:p>
        </w:tc>
        <w:tc>
          <w:tcPr>
            <w:tcW w:w="992" w:type="dxa"/>
            <w:shd w:val="clear" w:color="auto" w:fill="auto"/>
            <w:noWrap/>
          </w:tcPr>
          <w:p w:rsidR="00B608F1" w:rsidRPr="00B508C4" w:rsidRDefault="00B608F1" w:rsidP="00610B65">
            <w:pPr>
              <w:jc w:val="center"/>
            </w:pPr>
            <w:r w:rsidRPr="00B508C4">
              <w:t>£21.62</w:t>
            </w:r>
          </w:p>
        </w:tc>
      </w:tr>
      <w:tr w:rsidR="00B608F1" w:rsidRPr="00B508C4" w:rsidTr="00610B65">
        <w:trPr>
          <w:trHeight w:val="74"/>
        </w:trPr>
        <w:tc>
          <w:tcPr>
            <w:tcW w:w="3738" w:type="dxa"/>
            <w:shd w:val="clear" w:color="auto" w:fill="auto"/>
          </w:tcPr>
          <w:p w:rsidR="00B608F1" w:rsidRPr="00B508C4" w:rsidRDefault="00B608F1" w:rsidP="00610B65">
            <w:pPr>
              <w:jc w:val="both"/>
            </w:pPr>
            <w:r w:rsidRPr="00B508C4">
              <w:t>Service costs per week</w:t>
            </w:r>
          </w:p>
        </w:tc>
        <w:tc>
          <w:tcPr>
            <w:tcW w:w="1174" w:type="dxa"/>
            <w:shd w:val="clear" w:color="auto" w:fill="auto"/>
          </w:tcPr>
          <w:p w:rsidR="00B608F1" w:rsidRPr="00B508C4" w:rsidRDefault="00B608F1" w:rsidP="00610B65">
            <w:pPr>
              <w:jc w:val="center"/>
            </w:pPr>
            <w:r w:rsidRPr="00B508C4">
              <w:t>£9.22</w:t>
            </w:r>
          </w:p>
        </w:tc>
        <w:tc>
          <w:tcPr>
            <w:tcW w:w="1150" w:type="dxa"/>
            <w:shd w:val="clear" w:color="auto" w:fill="auto"/>
          </w:tcPr>
          <w:p w:rsidR="00B608F1" w:rsidRPr="00B508C4" w:rsidRDefault="00B608F1" w:rsidP="00610B65">
            <w:pPr>
              <w:jc w:val="center"/>
            </w:pPr>
            <w:r w:rsidRPr="00B508C4">
              <w:t>£8.36</w:t>
            </w:r>
          </w:p>
        </w:tc>
        <w:tc>
          <w:tcPr>
            <w:tcW w:w="1134" w:type="dxa"/>
            <w:shd w:val="clear" w:color="auto" w:fill="auto"/>
            <w:noWrap/>
          </w:tcPr>
          <w:p w:rsidR="00B608F1" w:rsidRPr="00B508C4" w:rsidRDefault="00B608F1" w:rsidP="00610B65">
            <w:pPr>
              <w:jc w:val="center"/>
            </w:pPr>
            <w:r w:rsidRPr="00B508C4">
              <w:t>£10.49</w:t>
            </w:r>
          </w:p>
        </w:tc>
        <w:tc>
          <w:tcPr>
            <w:tcW w:w="992" w:type="dxa"/>
            <w:shd w:val="clear" w:color="auto" w:fill="auto"/>
            <w:noWrap/>
          </w:tcPr>
          <w:p w:rsidR="00B608F1" w:rsidRPr="00B508C4" w:rsidRDefault="00B608F1" w:rsidP="00610B65">
            <w:pPr>
              <w:jc w:val="center"/>
            </w:pPr>
            <w:r w:rsidRPr="00B508C4">
              <w:t>£16.22</w:t>
            </w:r>
          </w:p>
        </w:tc>
      </w:tr>
    </w:tbl>
    <w:p w:rsidR="00B608F1" w:rsidRDefault="00B608F1" w:rsidP="00B608F1">
      <w:pPr>
        <w:pStyle w:val="NormalJust"/>
        <w:rPr>
          <w:sz w:val="20"/>
        </w:rPr>
      </w:pPr>
    </w:p>
    <w:p w:rsidR="00B608F1" w:rsidRPr="00B508C4" w:rsidRDefault="00B608F1" w:rsidP="00B608F1">
      <w:pPr>
        <w:pStyle w:val="NormalJust"/>
        <w:rPr>
          <w:sz w:val="20"/>
        </w:rPr>
      </w:pPr>
      <w:r w:rsidRPr="00B508C4">
        <w:rPr>
          <w:sz w:val="20"/>
        </w:rPr>
        <w:t>Housing for Women spent substantially more on responsive repairs per unit per week and this was expected because we significantly reduced planned and major repair work as part of our asset management strategy and the implementation of our asset review. Our intention is that responsive repairs will fall significantly going forward and planned and major repairs will increase to a ratio in the region of 70:30 which is more in line with industry expectations.</w:t>
      </w:r>
    </w:p>
    <w:p w:rsidR="00B608F1" w:rsidRDefault="00B608F1" w:rsidP="00B608F1">
      <w:pPr>
        <w:pStyle w:val="NormalJust"/>
        <w:rPr>
          <w:sz w:val="20"/>
        </w:rPr>
      </w:pPr>
      <w:r w:rsidRPr="00B508C4">
        <w:rPr>
          <w:sz w:val="20"/>
        </w:rPr>
        <w:t>Both management and service costs per unit per week have reduced in the past year and are lower than either of the comparators which indicate that the organisation structure is right and that we should continue to focus on efficiency and cost reduction.</w:t>
      </w:r>
    </w:p>
    <w:p w:rsidR="00B608F1" w:rsidRPr="00B508C4" w:rsidRDefault="00B608F1" w:rsidP="00B608F1">
      <w:pPr>
        <w:pStyle w:val="Heading3"/>
        <w:jc w:val="both"/>
        <w:rPr>
          <w:b w:val="0"/>
          <w:sz w:val="20"/>
        </w:rPr>
      </w:pPr>
      <w:r w:rsidRPr="00B508C4">
        <w:rPr>
          <w:sz w:val="20"/>
        </w:rPr>
        <w:t>SUPPORTED HOUSING SERVICES</w:t>
      </w:r>
    </w:p>
    <w:p w:rsidR="00B608F1" w:rsidRPr="00B508C4" w:rsidRDefault="00B608F1" w:rsidP="00B608F1">
      <w:pPr>
        <w:pStyle w:val="NormalJust"/>
        <w:rPr>
          <w:sz w:val="20"/>
        </w:rPr>
      </w:pPr>
      <w:r w:rsidRPr="00B508C4">
        <w:rPr>
          <w:sz w:val="20"/>
        </w:rPr>
        <w:t>The Association operates ten refuges for women escaping domestic violence in 3 London boroughs plus floating support services. The refuge services are supplemented by a children’s service which is funded by grants and donations.</w:t>
      </w:r>
    </w:p>
    <w:p w:rsidR="00B608F1" w:rsidRDefault="00B608F1" w:rsidP="00B608F1">
      <w:pPr>
        <w:pStyle w:val="NormalJust"/>
        <w:rPr>
          <w:sz w:val="20"/>
        </w:rPr>
      </w:pPr>
      <w:r w:rsidRPr="00B508C4">
        <w:rPr>
          <w:sz w:val="20"/>
        </w:rPr>
        <w:t xml:space="preserve">The Association generates considerable additional value by fundraising for innovative projects to support a range of women who are at risk of violence including trafficked women, women ex-offenders and women involved in the criminal justice system.  </w:t>
      </w:r>
    </w:p>
    <w:p w:rsidR="00B608F1" w:rsidRPr="00B508C4" w:rsidRDefault="00B608F1" w:rsidP="00B608F1">
      <w:pPr>
        <w:pStyle w:val="Heading3"/>
        <w:jc w:val="both"/>
        <w:rPr>
          <w:b w:val="0"/>
          <w:sz w:val="20"/>
        </w:rPr>
      </w:pPr>
      <w:r w:rsidRPr="00B508C4">
        <w:rPr>
          <w:sz w:val="20"/>
        </w:rPr>
        <w:t>PROCUREMENT AND ICT</w:t>
      </w:r>
    </w:p>
    <w:p w:rsidR="00B608F1" w:rsidRPr="00B508C4" w:rsidRDefault="00B608F1" w:rsidP="00B608F1">
      <w:pPr>
        <w:pStyle w:val="NormalJust"/>
        <w:rPr>
          <w:sz w:val="20"/>
        </w:rPr>
      </w:pPr>
      <w:r w:rsidRPr="00B508C4">
        <w:rPr>
          <w:sz w:val="20"/>
        </w:rPr>
        <w:t>The procurement strategy sets out how services and goods are to be procured to achieve value for money.  It also encourages the association to ensure value for money using quotes and tenders as the basis for ensuring the best value in all procurement of goods and services</w:t>
      </w:r>
    </w:p>
    <w:p w:rsidR="00B608F1" w:rsidRPr="00B508C4" w:rsidRDefault="00B608F1" w:rsidP="00B608F1">
      <w:pPr>
        <w:pStyle w:val="NormalJust"/>
        <w:rPr>
          <w:sz w:val="20"/>
        </w:rPr>
      </w:pPr>
      <w:r w:rsidRPr="00B508C4">
        <w:rPr>
          <w:sz w:val="20"/>
        </w:rPr>
        <w:t xml:space="preserve">In addition to trialling a new text messaging service, planned ICT enhancements in the year included the upgrade of the financial accounting system, implementation of the </w:t>
      </w:r>
      <w:proofErr w:type="spellStart"/>
      <w:r w:rsidRPr="00B508C4">
        <w:rPr>
          <w:sz w:val="20"/>
        </w:rPr>
        <w:t>Brixx</w:t>
      </w:r>
      <w:proofErr w:type="spellEnd"/>
      <w:r w:rsidRPr="00B508C4">
        <w:rPr>
          <w:sz w:val="20"/>
        </w:rPr>
        <w:t xml:space="preserve"> financial modelling, re-procurement of broadband services and the implementation of a new ‘state of the art’ cloud based mobile and telephone system.</w:t>
      </w:r>
    </w:p>
    <w:p w:rsidR="00B608F1" w:rsidRPr="00B508C4" w:rsidRDefault="00B608F1" w:rsidP="00B608F1">
      <w:pPr>
        <w:pStyle w:val="NormalJust"/>
        <w:rPr>
          <w:sz w:val="20"/>
        </w:rPr>
      </w:pPr>
      <w:r w:rsidRPr="00B508C4">
        <w:rPr>
          <w:sz w:val="20"/>
        </w:rPr>
        <w:t xml:space="preserve">We have been invited to become a flagship site for the </w:t>
      </w:r>
      <w:proofErr w:type="spellStart"/>
      <w:r w:rsidRPr="00B508C4">
        <w:rPr>
          <w:sz w:val="20"/>
        </w:rPr>
        <w:t>Kypera</w:t>
      </w:r>
      <w:proofErr w:type="spellEnd"/>
      <w:r w:rsidRPr="00B508C4">
        <w:rPr>
          <w:sz w:val="20"/>
        </w:rPr>
        <w:t xml:space="preserve"> housing and maintenance system and over the next year those modules will be upgraded and staff trained to maximise use of the system and improve efficiency in terms of rent collection, arrears management, job costing and contract management.</w:t>
      </w:r>
    </w:p>
    <w:p w:rsidR="00B608F1" w:rsidRDefault="00B608F1" w:rsidP="00B608F1">
      <w:pPr>
        <w:pStyle w:val="NormalJust"/>
        <w:rPr>
          <w:sz w:val="20"/>
        </w:rPr>
      </w:pPr>
      <w:r w:rsidRPr="00B508C4">
        <w:rPr>
          <w:sz w:val="20"/>
        </w:rPr>
        <w:t xml:space="preserve">We will also redesign our internet website and revamp document management to ensure that mobile and flexible working is improved and </w:t>
      </w:r>
      <w:proofErr w:type="gramStart"/>
      <w:r w:rsidRPr="00B508C4">
        <w:rPr>
          <w:sz w:val="20"/>
        </w:rPr>
        <w:t>staff ha</w:t>
      </w:r>
      <w:r>
        <w:rPr>
          <w:sz w:val="20"/>
        </w:rPr>
        <w:t>ve</w:t>
      </w:r>
      <w:proofErr w:type="gramEnd"/>
      <w:r w:rsidRPr="00B508C4">
        <w:rPr>
          <w:sz w:val="20"/>
        </w:rPr>
        <w:t xml:space="preserve"> access to all relevant systems and documents regardless of where they are located.</w:t>
      </w:r>
    </w:p>
    <w:p w:rsidR="00B608F1" w:rsidRPr="00B508C4" w:rsidRDefault="00B608F1" w:rsidP="00B608F1">
      <w:pPr>
        <w:pStyle w:val="Heading3"/>
        <w:jc w:val="both"/>
        <w:rPr>
          <w:b w:val="0"/>
          <w:sz w:val="20"/>
        </w:rPr>
      </w:pPr>
      <w:r w:rsidRPr="00B508C4">
        <w:rPr>
          <w:sz w:val="20"/>
        </w:rPr>
        <w:t>SOCIAL RETURN ON INVESTMENT</w:t>
      </w:r>
    </w:p>
    <w:p w:rsidR="00B608F1" w:rsidRDefault="00B608F1" w:rsidP="00B608F1">
      <w:pPr>
        <w:jc w:val="both"/>
      </w:pPr>
      <w:r w:rsidRPr="00B508C4">
        <w:t xml:space="preserve">Just over 24% of our tenants are over the age of 69 and around half (97) of them have medium to high support needs ranging from advocacy and support to adaptations to their property. Housing for Women employs a part time Older Persons worker who works with a group of befrienders to provide additional support to our older tenants. In the coming year we will evaluate the impact and aim to understand the cause and effect of our interventions. </w:t>
      </w:r>
    </w:p>
    <w:p w:rsidR="00B608F1" w:rsidRPr="00B508C4" w:rsidRDefault="00B608F1" w:rsidP="00B608F1">
      <w:pPr>
        <w:jc w:val="both"/>
      </w:pPr>
    </w:p>
    <w:p w:rsidR="00B608F1" w:rsidRPr="00B508C4" w:rsidRDefault="00B608F1" w:rsidP="00B608F1">
      <w:pPr>
        <w:jc w:val="both"/>
      </w:pPr>
      <w:r w:rsidRPr="00B508C4">
        <w:t>The Association has agreed a methodology for measuring social return on investment in relation to the use of our volunteers and the relevant hourly rate for the services they provide. It seeks to assign a monetary value to the hours and work that volunteers and befrienders carry out as well as identifying what has changed and the impact of that change. We will also assess and assign a value to the savings falling to partner organisations such as health and social services as a result of our interventions.</w:t>
      </w:r>
    </w:p>
    <w:p w:rsidR="00B608F1" w:rsidRDefault="00B608F1" w:rsidP="00B608F1">
      <w:pPr>
        <w:jc w:val="both"/>
      </w:pPr>
      <w:r w:rsidRPr="00B508C4">
        <w:t>We have piloted the SROI methodology on our Volunteering service and introduced quarterly reporting. In the 6 months to September, volunteers donated 3,330.5 hours of their time to the Association and this is valued at almost £31,000.</w:t>
      </w:r>
    </w:p>
    <w:p w:rsidR="00B608F1" w:rsidRDefault="00B608F1" w:rsidP="00B608F1">
      <w:pPr>
        <w:jc w:val="both"/>
      </w:pPr>
    </w:p>
    <w:p w:rsidR="00B608F1" w:rsidRPr="00B508C4" w:rsidRDefault="00B608F1" w:rsidP="00B608F1">
      <w:pPr>
        <w:jc w:val="both"/>
        <w:rPr>
          <w:b/>
        </w:rPr>
      </w:pPr>
      <w:r w:rsidRPr="00B508C4">
        <w:rPr>
          <w:b/>
        </w:rPr>
        <w:t>VFM GAINS IN THE YEAR</w:t>
      </w:r>
    </w:p>
    <w:p w:rsidR="00B608F1" w:rsidRPr="00B508C4" w:rsidRDefault="00B608F1" w:rsidP="00B608F1">
      <w:pPr>
        <w:jc w:val="both"/>
      </w:pPr>
      <w:r w:rsidRPr="00B508C4">
        <w:t>Gains in the year included cost savings on utility bills in the region of 5% on electricity and 30% on gas, switching our broadband provider yielded a 50% saving on costs. Further gains are identified in our value for money assessment.</w:t>
      </w:r>
    </w:p>
    <w:p w:rsidR="00B608F1" w:rsidRDefault="00B608F1" w:rsidP="00B608F1"/>
    <w:p w:rsidR="00B608F1" w:rsidRDefault="00B608F1" w:rsidP="00B608F1"/>
    <w:p w:rsidR="00B026B0" w:rsidRDefault="00B026B0"/>
    <w:sectPr w:rsidR="00B02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84C2A"/>
    <w:multiLevelType w:val="hybridMultilevel"/>
    <w:tmpl w:val="31781F50"/>
    <w:lvl w:ilvl="0" w:tplc="B942C7C0">
      <w:start w:val="1"/>
      <w:numFmt w:val="bullet"/>
      <w:pStyle w:val="hfwbullet1"/>
      <w:lvlText w:val=""/>
      <w:lvlJc w:val="left"/>
      <w:pPr>
        <w:ind w:left="144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1"/>
    <w:rsid w:val="002307A1"/>
    <w:rsid w:val="00354C68"/>
    <w:rsid w:val="00B026B0"/>
    <w:rsid w:val="00B60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F1"/>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608F1"/>
    <w:pPr>
      <w:spacing w:before="240"/>
      <w:outlineLvl w:val="0"/>
    </w:pPr>
    <w:rPr>
      <w:b/>
      <w:sz w:val="24"/>
    </w:rPr>
  </w:style>
  <w:style w:type="paragraph" w:styleId="Heading2">
    <w:name w:val="heading 2"/>
    <w:basedOn w:val="Normal"/>
    <w:next w:val="Normal"/>
    <w:link w:val="Heading2Char"/>
    <w:qFormat/>
    <w:rsid w:val="00B608F1"/>
    <w:pPr>
      <w:keepNext/>
      <w:spacing w:before="240" w:after="60"/>
      <w:outlineLvl w:val="1"/>
    </w:pPr>
    <w:rPr>
      <w:rFonts w:ascii="Arial" w:hAnsi="Arial"/>
      <w:b/>
      <w:i/>
      <w:sz w:val="24"/>
    </w:rPr>
  </w:style>
  <w:style w:type="paragraph" w:styleId="Heading3">
    <w:name w:val="heading 3"/>
    <w:basedOn w:val="Normal"/>
    <w:next w:val="Normal"/>
    <w:link w:val="Heading3Char"/>
    <w:qFormat/>
    <w:rsid w:val="00B608F1"/>
    <w:pPr>
      <w:keepNext/>
      <w:spacing w:before="12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8F1"/>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B608F1"/>
    <w:rPr>
      <w:rFonts w:eastAsia="Times New Roman" w:cs="Times New Roman"/>
      <w:b/>
      <w:i/>
      <w:sz w:val="24"/>
      <w:szCs w:val="20"/>
      <w:lang w:eastAsia="en-GB"/>
    </w:rPr>
  </w:style>
  <w:style w:type="character" w:customStyle="1" w:styleId="Heading3Char">
    <w:name w:val="Heading 3 Char"/>
    <w:basedOn w:val="DefaultParagraphFont"/>
    <w:link w:val="Heading3"/>
    <w:rsid w:val="00B608F1"/>
    <w:rPr>
      <w:rFonts w:ascii="Times New Roman" w:eastAsia="Times New Roman" w:hAnsi="Times New Roman" w:cs="Times New Roman"/>
      <w:b/>
      <w:sz w:val="24"/>
      <w:szCs w:val="20"/>
      <w:lang w:eastAsia="en-GB"/>
    </w:rPr>
  </w:style>
  <w:style w:type="paragraph" w:customStyle="1" w:styleId="hfwbullet1">
    <w:name w:val="hfw bullet 1"/>
    <w:basedOn w:val="Normal"/>
    <w:link w:val="hfwbullet1Char"/>
    <w:qFormat/>
    <w:rsid w:val="00B608F1"/>
    <w:pPr>
      <w:numPr>
        <w:numId w:val="1"/>
      </w:numPr>
      <w:spacing w:before="120" w:after="120"/>
      <w:ind w:left="567" w:hanging="284"/>
      <w:jc w:val="both"/>
    </w:pPr>
    <w:rPr>
      <w:sz w:val="22"/>
    </w:rPr>
  </w:style>
  <w:style w:type="character" w:customStyle="1" w:styleId="hfwbullet1Char">
    <w:name w:val="hfw bullet 1 Char"/>
    <w:link w:val="hfwbullet1"/>
    <w:rsid w:val="00B608F1"/>
    <w:rPr>
      <w:rFonts w:ascii="Times New Roman" w:eastAsia="Times New Roman" w:hAnsi="Times New Roman" w:cs="Times New Roman"/>
      <w:szCs w:val="20"/>
      <w:lang w:eastAsia="en-GB"/>
    </w:rPr>
  </w:style>
  <w:style w:type="paragraph" w:customStyle="1" w:styleId="NormalJust">
    <w:name w:val="Normal Just"/>
    <w:basedOn w:val="Normal"/>
    <w:link w:val="NormalJustChar"/>
    <w:qFormat/>
    <w:rsid w:val="00B608F1"/>
    <w:pPr>
      <w:spacing w:before="120" w:after="120"/>
      <w:jc w:val="both"/>
    </w:pPr>
    <w:rPr>
      <w:sz w:val="22"/>
    </w:rPr>
  </w:style>
  <w:style w:type="character" w:customStyle="1" w:styleId="NormalJustChar">
    <w:name w:val="Normal Just Char"/>
    <w:link w:val="NormalJust"/>
    <w:rsid w:val="00B608F1"/>
    <w:rPr>
      <w:rFonts w:ascii="Times New Roman" w:eastAsia="Times New Roman" w:hAnsi="Times New Roman"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F1"/>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B608F1"/>
    <w:pPr>
      <w:spacing w:before="240"/>
      <w:outlineLvl w:val="0"/>
    </w:pPr>
    <w:rPr>
      <w:b/>
      <w:sz w:val="24"/>
    </w:rPr>
  </w:style>
  <w:style w:type="paragraph" w:styleId="Heading2">
    <w:name w:val="heading 2"/>
    <w:basedOn w:val="Normal"/>
    <w:next w:val="Normal"/>
    <w:link w:val="Heading2Char"/>
    <w:qFormat/>
    <w:rsid w:val="00B608F1"/>
    <w:pPr>
      <w:keepNext/>
      <w:spacing w:before="240" w:after="60"/>
      <w:outlineLvl w:val="1"/>
    </w:pPr>
    <w:rPr>
      <w:rFonts w:ascii="Arial" w:hAnsi="Arial"/>
      <w:b/>
      <w:i/>
      <w:sz w:val="24"/>
    </w:rPr>
  </w:style>
  <w:style w:type="paragraph" w:styleId="Heading3">
    <w:name w:val="heading 3"/>
    <w:basedOn w:val="Normal"/>
    <w:next w:val="Normal"/>
    <w:link w:val="Heading3Char"/>
    <w:qFormat/>
    <w:rsid w:val="00B608F1"/>
    <w:pPr>
      <w:keepNext/>
      <w:spacing w:before="12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8F1"/>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B608F1"/>
    <w:rPr>
      <w:rFonts w:eastAsia="Times New Roman" w:cs="Times New Roman"/>
      <w:b/>
      <w:i/>
      <w:sz w:val="24"/>
      <w:szCs w:val="20"/>
      <w:lang w:eastAsia="en-GB"/>
    </w:rPr>
  </w:style>
  <w:style w:type="character" w:customStyle="1" w:styleId="Heading3Char">
    <w:name w:val="Heading 3 Char"/>
    <w:basedOn w:val="DefaultParagraphFont"/>
    <w:link w:val="Heading3"/>
    <w:rsid w:val="00B608F1"/>
    <w:rPr>
      <w:rFonts w:ascii="Times New Roman" w:eastAsia="Times New Roman" w:hAnsi="Times New Roman" w:cs="Times New Roman"/>
      <w:b/>
      <w:sz w:val="24"/>
      <w:szCs w:val="20"/>
      <w:lang w:eastAsia="en-GB"/>
    </w:rPr>
  </w:style>
  <w:style w:type="paragraph" w:customStyle="1" w:styleId="hfwbullet1">
    <w:name w:val="hfw bullet 1"/>
    <w:basedOn w:val="Normal"/>
    <w:link w:val="hfwbullet1Char"/>
    <w:qFormat/>
    <w:rsid w:val="00B608F1"/>
    <w:pPr>
      <w:numPr>
        <w:numId w:val="1"/>
      </w:numPr>
      <w:spacing w:before="120" w:after="120"/>
      <w:ind w:left="567" w:hanging="284"/>
      <w:jc w:val="both"/>
    </w:pPr>
    <w:rPr>
      <w:sz w:val="22"/>
    </w:rPr>
  </w:style>
  <w:style w:type="character" w:customStyle="1" w:styleId="hfwbullet1Char">
    <w:name w:val="hfw bullet 1 Char"/>
    <w:link w:val="hfwbullet1"/>
    <w:rsid w:val="00B608F1"/>
    <w:rPr>
      <w:rFonts w:ascii="Times New Roman" w:eastAsia="Times New Roman" w:hAnsi="Times New Roman" w:cs="Times New Roman"/>
      <w:szCs w:val="20"/>
      <w:lang w:eastAsia="en-GB"/>
    </w:rPr>
  </w:style>
  <w:style w:type="paragraph" w:customStyle="1" w:styleId="NormalJust">
    <w:name w:val="Normal Just"/>
    <w:basedOn w:val="Normal"/>
    <w:link w:val="NormalJustChar"/>
    <w:qFormat/>
    <w:rsid w:val="00B608F1"/>
    <w:pPr>
      <w:spacing w:before="120" w:after="120"/>
      <w:jc w:val="both"/>
    </w:pPr>
    <w:rPr>
      <w:sz w:val="22"/>
    </w:rPr>
  </w:style>
  <w:style w:type="character" w:customStyle="1" w:styleId="NormalJustChar">
    <w:name w:val="Normal Just Char"/>
    <w:link w:val="NormalJust"/>
    <w:rsid w:val="00B608F1"/>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Housing for Women</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Croft</dc:creator>
  <cp:lastModifiedBy>Susan Croft</cp:lastModifiedBy>
  <cp:revision>1</cp:revision>
  <dcterms:created xsi:type="dcterms:W3CDTF">2017-04-11T14:49:00Z</dcterms:created>
  <dcterms:modified xsi:type="dcterms:W3CDTF">2017-04-11T14:49:00Z</dcterms:modified>
</cp:coreProperties>
</file>